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626"/>
        <w:rPr>
          <w:rFonts w:hint="eastAsia" w:ascii="仿宋" w:hAnsi="仿宋" w:eastAsia="仿宋" w:cs="仿宋"/>
          <w:sz w:val="32"/>
          <w:szCs w:val="32"/>
          <w:lang w:val="en-US" w:eastAsia="zh-CN"/>
        </w:rPr>
      </w:pPr>
      <w:r>
        <w:rPr>
          <w:rFonts w:hint="eastAsia" w:ascii="仿宋" w:hAnsi="仿宋" w:eastAsia="仿宋" w:cs="仿宋"/>
          <w:sz w:val="32"/>
          <w:szCs w:val="32"/>
          <w:lang w:eastAsia="zh-CN"/>
        </w:rPr>
        <w:t>台政发</w:t>
      </w:r>
      <w:r>
        <w:rPr>
          <w:rFonts w:hint="eastAsia" w:ascii="仿宋" w:hAnsi="仿宋" w:eastAsia="仿宋" w:cs="仿宋"/>
          <w:sz w:val="32"/>
          <w:szCs w:val="32"/>
          <w:lang w:val="en-US" w:eastAsia="zh-CN"/>
        </w:rPr>
        <w:t>[2021]1号</w:t>
      </w:r>
    </w:p>
    <w:p>
      <w:pPr>
        <w:pStyle w:val="2"/>
        <w:ind w:right="626"/>
        <w:jc w:val="both"/>
      </w:pPr>
    </w:p>
    <w:p>
      <w:pPr>
        <w:pStyle w:val="2"/>
        <w:ind w:right="626"/>
      </w:pPr>
      <w:r>
        <w:rPr>
          <w:rFonts w:hint="eastAsia"/>
        </w:rPr>
        <w:t>台儿庄区</w:t>
      </w:r>
      <w:r>
        <w:t>人民政府</w:t>
      </w:r>
    </w:p>
    <w:p>
      <w:pPr>
        <w:spacing w:line="650" w:lineRule="exact"/>
        <w:ind w:left="587" w:right="624"/>
        <w:jc w:val="center"/>
        <w:rPr>
          <w:rFonts w:ascii="方正小标宋简体" w:eastAsia="方正小标宋简体"/>
          <w:sz w:val="44"/>
        </w:rPr>
      </w:pPr>
      <w:r>
        <w:rPr>
          <w:rFonts w:hint="eastAsia" w:ascii="方正小标宋简体" w:eastAsia="方正小标宋简体"/>
          <w:sz w:val="44"/>
        </w:rPr>
        <w:t>关于调整一批行</w:t>
      </w:r>
      <w:bookmarkStart w:id="0" w:name="_GoBack"/>
      <w:bookmarkEnd w:id="0"/>
      <w:r>
        <w:rPr>
          <w:rFonts w:hint="eastAsia" w:ascii="方正小标宋简体" w:eastAsia="方正小标宋简体"/>
          <w:sz w:val="44"/>
        </w:rPr>
        <w:t>政权力事项的通知</w:t>
      </w:r>
    </w:p>
    <w:p>
      <w:pPr>
        <w:pStyle w:val="3"/>
        <w:spacing w:line="560" w:lineRule="exact"/>
        <w:ind w:left="147" w:right="280"/>
        <w:jc w:val="both"/>
        <w:rPr>
          <w:spacing w:val="-13"/>
        </w:rPr>
      </w:pPr>
    </w:p>
    <w:p>
      <w:pPr>
        <w:pStyle w:val="3"/>
        <w:spacing w:line="560" w:lineRule="exact"/>
        <w:ind w:right="114"/>
        <w:jc w:val="both"/>
        <w:rPr>
          <w:rFonts w:hint="eastAsia"/>
          <w:spacing w:val="0"/>
        </w:rPr>
      </w:pPr>
      <w:r>
        <w:rPr>
          <w:rFonts w:hint="eastAsia"/>
          <w:spacing w:val="0"/>
        </w:rPr>
        <w:t>各镇人民政府、运河街道办事处，台儿庄区经济开发区管委会，区政府各部门，各大企业：</w:t>
      </w:r>
    </w:p>
    <w:p>
      <w:pPr>
        <w:pStyle w:val="3"/>
        <w:spacing w:line="560" w:lineRule="exact"/>
        <w:ind w:right="114" w:firstLine="640" w:firstLineChars="200"/>
        <w:jc w:val="both"/>
        <w:rPr>
          <w:spacing w:val="0"/>
        </w:rPr>
      </w:pPr>
      <w:r>
        <w:rPr>
          <w:spacing w:val="0"/>
        </w:rPr>
        <w:t>为深入推进简政放权，打造精简高效政务生态，根据《</w:t>
      </w:r>
      <w:r>
        <w:rPr>
          <w:rFonts w:hint="eastAsia"/>
          <w:spacing w:val="0"/>
        </w:rPr>
        <w:t>枣庄市人民政府</w:t>
      </w:r>
      <w:r>
        <w:rPr>
          <w:spacing w:val="0"/>
        </w:rPr>
        <w:t>关于调整一批行政权力事项的通知》（</w:t>
      </w:r>
      <w:r>
        <w:rPr>
          <w:rFonts w:hint="eastAsia"/>
          <w:spacing w:val="0"/>
        </w:rPr>
        <w:t>枣</w:t>
      </w:r>
      <w:r>
        <w:rPr>
          <w:spacing w:val="0"/>
        </w:rPr>
        <w:t>政发〔2021〕</w:t>
      </w:r>
      <w:r>
        <w:rPr>
          <w:rFonts w:hint="eastAsia"/>
          <w:spacing w:val="0"/>
          <w:lang w:val="en-US"/>
        </w:rPr>
        <w:t>2</w:t>
      </w:r>
      <w:r>
        <w:rPr>
          <w:spacing w:val="0"/>
        </w:rPr>
        <w:t>号）要求和法律法规调整情况，</w:t>
      </w:r>
      <w:r>
        <w:rPr>
          <w:rFonts w:hint="eastAsia"/>
          <w:spacing w:val="0"/>
        </w:rPr>
        <w:t>区</w:t>
      </w:r>
      <w:r>
        <w:rPr>
          <w:spacing w:val="0"/>
        </w:rPr>
        <w:t>政府决定，2021年第一批调整行政权力事项</w:t>
      </w:r>
      <w:r>
        <w:rPr>
          <w:rFonts w:hint="eastAsia"/>
          <w:spacing w:val="0"/>
          <w:lang w:val="en-US" w:eastAsia="zh-CN"/>
        </w:rPr>
        <w:t>39</w:t>
      </w:r>
      <w:r>
        <w:rPr>
          <w:spacing w:val="0"/>
        </w:rPr>
        <w:t>项，</w:t>
      </w:r>
      <w:r>
        <w:rPr>
          <w:rFonts w:ascii="Times New Roman" w:hAnsi="Times New Roman" w:cs="Times New Roman"/>
          <w:spacing w:val="0"/>
        </w:rPr>
        <w:t>其中，取消</w:t>
      </w:r>
      <w:r>
        <w:rPr>
          <w:spacing w:val="0"/>
        </w:rPr>
        <w:t>2</w:t>
      </w:r>
      <w:r>
        <w:rPr>
          <w:rFonts w:hint="eastAsia"/>
          <w:spacing w:val="0"/>
          <w:lang w:val="en-US" w:eastAsia="zh-CN"/>
        </w:rPr>
        <w:t>2</w:t>
      </w:r>
      <w:r>
        <w:rPr>
          <w:rFonts w:ascii="Times New Roman" w:hAnsi="Times New Roman" w:cs="Times New Roman"/>
          <w:spacing w:val="0"/>
        </w:rPr>
        <w:t>项，“市县同权”改革</w:t>
      </w:r>
      <w:r>
        <w:rPr>
          <w:rFonts w:ascii="Times New Roman" w:hAnsi="Times New Roman" w:cs="Times New Roman"/>
          <w:spacing w:val="0"/>
          <w:lang w:val="en-US"/>
        </w:rPr>
        <w:t>调整至区级实施</w:t>
      </w:r>
      <w:r>
        <w:rPr>
          <w:rFonts w:hint="eastAsia"/>
          <w:spacing w:val="0"/>
          <w:lang w:val="en-US" w:eastAsia="zh-CN"/>
        </w:rPr>
        <w:t>4</w:t>
      </w:r>
      <w:r>
        <w:rPr>
          <w:rFonts w:ascii="Times New Roman" w:hAnsi="Times New Roman" w:cs="Times New Roman"/>
          <w:spacing w:val="0"/>
        </w:rPr>
        <w:t>项，承接</w:t>
      </w:r>
      <w:r>
        <w:rPr>
          <w:rFonts w:ascii="Times New Roman" w:hAnsi="Times New Roman" w:cs="Times New Roman"/>
          <w:spacing w:val="0"/>
          <w:lang w:val="en-US"/>
        </w:rPr>
        <w:t>市级下放</w:t>
      </w:r>
      <w:r>
        <w:rPr>
          <w:rFonts w:hint="eastAsia"/>
          <w:spacing w:val="0"/>
          <w:lang w:val="en-US" w:eastAsia="zh-CN"/>
        </w:rPr>
        <w:t>9</w:t>
      </w:r>
      <w:r>
        <w:rPr>
          <w:rFonts w:ascii="Times New Roman" w:hAnsi="Times New Roman" w:cs="Times New Roman"/>
          <w:spacing w:val="0"/>
        </w:rPr>
        <w:t>项，优化</w:t>
      </w:r>
      <w:r>
        <w:rPr>
          <w:rFonts w:hint="eastAsia" w:ascii="Times New Roman" w:hAnsi="Times New Roman" w:cs="Times New Roman"/>
          <w:spacing w:val="0"/>
          <w:lang w:val="en-US" w:eastAsia="zh-CN"/>
        </w:rPr>
        <w:t>调整</w:t>
      </w:r>
      <w:r>
        <w:rPr>
          <w:rFonts w:hint="eastAsia"/>
          <w:spacing w:val="0"/>
          <w:lang w:val="en-US" w:eastAsia="zh-CN"/>
        </w:rPr>
        <w:t>4</w:t>
      </w:r>
      <w:r>
        <w:rPr>
          <w:rFonts w:ascii="Times New Roman" w:hAnsi="Times New Roman" w:cs="Times New Roman"/>
          <w:spacing w:val="0"/>
        </w:rPr>
        <w:t>项。</w:t>
      </w:r>
    </w:p>
    <w:p>
      <w:pPr>
        <w:pStyle w:val="3"/>
        <w:spacing w:line="560" w:lineRule="exact"/>
        <w:ind w:left="147" w:right="114" w:firstLine="616"/>
        <w:jc w:val="both"/>
        <w:rPr>
          <w:spacing w:val="0"/>
        </w:rPr>
      </w:pPr>
      <w:r>
        <w:rPr>
          <w:rFonts w:hint="eastAsia"/>
          <w:spacing w:val="0"/>
          <w:lang w:val="en-US" w:eastAsia="zh-CN"/>
        </w:rPr>
        <w:t>各级、各</w:t>
      </w:r>
      <w:r>
        <w:rPr>
          <w:rFonts w:hint="eastAsia"/>
          <w:spacing w:val="0"/>
        </w:rPr>
        <w:t>有关部门单位</w:t>
      </w:r>
      <w:r>
        <w:rPr>
          <w:spacing w:val="0"/>
        </w:rPr>
        <w:t>要</w:t>
      </w:r>
      <w:r>
        <w:rPr>
          <w:rFonts w:hint="eastAsia"/>
          <w:spacing w:val="0"/>
          <w:lang w:val="en-US" w:eastAsia="zh-CN"/>
        </w:rPr>
        <w:t>认真</w:t>
      </w:r>
      <w:r>
        <w:rPr>
          <w:spacing w:val="0"/>
        </w:rPr>
        <w:t>做好调整行政权力事项的贯彻落实工作，进一步细化改革配套措施，加强和创新事中事后监管，确保</w:t>
      </w:r>
      <w:r>
        <w:rPr>
          <w:rFonts w:hint="eastAsia"/>
          <w:spacing w:val="0"/>
        </w:rPr>
        <w:t>所有事项取消到位、承接到位、优化到位</w:t>
      </w:r>
      <w:r>
        <w:rPr>
          <w:spacing w:val="0"/>
        </w:rPr>
        <w:t>。</w:t>
      </w:r>
      <w:r>
        <w:rPr>
          <w:rFonts w:hint="eastAsia"/>
          <w:spacing w:val="0"/>
        </w:rPr>
        <w:t>区</w:t>
      </w:r>
      <w:r>
        <w:rPr>
          <w:spacing w:val="0"/>
        </w:rPr>
        <w:t>直有关部门单位要在文件印发之日起</w:t>
      </w:r>
      <w:r>
        <w:rPr>
          <w:rFonts w:hint="eastAsia"/>
          <w:spacing w:val="0"/>
          <w:lang w:val="en-US" w:eastAsia="zh-CN"/>
        </w:rPr>
        <w:t>7</w:t>
      </w:r>
      <w:r>
        <w:rPr>
          <w:spacing w:val="0"/>
        </w:rPr>
        <w:t>个工作日内制定衔接落实方案，加强政策宣传解读</w:t>
      </w:r>
      <w:r>
        <w:rPr>
          <w:rFonts w:hint="eastAsia"/>
          <w:spacing w:val="0"/>
        </w:rPr>
        <w:t>和</w:t>
      </w:r>
      <w:r>
        <w:rPr>
          <w:spacing w:val="0"/>
        </w:rPr>
        <w:t>落实，及时调整相应的权责清单，</w:t>
      </w:r>
      <w:r>
        <w:rPr>
          <w:rFonts w:hint="eastAsia"/>
          <w:spacing w:val="0"/>
        </w:rPr>
        <w:t>对取消后区级仍需保留监管权限的事项制定后续监管措施，落实监管责任，切实加强监管；对上级下放的事项，</w:t>
      </w:r>
      <w:r>
        <w:rPr>
          <w:spacing w:val="0"/>
        </w:rPr>
        <w:t>按要求编制公开有关业务手册</w:t>
      </w:r>
      <w:r>
        <w:rPr>
          <w:rFonts w:hint="eastAsia"/>
          <w:spacing w:val="0"/>
        </w:rPr>
        <w:t>、</w:t>
      </w:r>
      <w:r>
        <w:rPr>
          <w:spacing w:val="0"/>
        </w:rPr>
        <w:t>服务指南</w:t>
      </w:r>
      <w:r>
        <w:rPr>
          <w:rFonts w:hint="eastAsia"/>
          <w:spacing w:val="0"/>
        </w:rPr>
        <w:t>和</w:t>
      </w:r>
      <w:r>
        <w:rPr>
          <w:spacing w:val="0"/>
        </w:rPr>
        <w:t>事中事后监管细则（审管衔接细则）；对落实“市县同权”改革调整至区实施的事项，要</w:t>
      </w:r>
      <w:r>
        <w:rPr>
          <w:rFonts w:ascii="Times New Roman" w:hAnsi="Times New Roman"/>
          <w:spacing w:val="0"/>
        </w:rPr>
        <w:t>主动对接市直有关部门单位，</w:t>
      </w:r>
      <w:r>
        <w:rPr>
          <w:rFonts w:hint="eastAsia"/>
          <w:spacing w:val="0"/>
          <w:lang w:val="en-US"/>
        </w:rPr>
        <w:t>精简审批环节，压缩审批时限，确保事项调整后，实现所需办理环节“只减不增”、办理时限“只减不增”、申请材料“只减不增”。</w:t>
      </w:r>
      <w:r>
        <w:rPr>
          <w:spacing w:val="0"/>
        </w:rPr>
        <w:t>相关调整事项涉及地方性法规、政府规章和其他规范性文件的，要按照规定程序抓紧修改。</w:t>
      </w:r>
    </w:p>
    <w:p>
      <w:pPr>
        <w:pStyle w:val="3"/>
        <w:spacing w:line="560" w:lineRule="exact"/>
        <w:ind w:left="147" w:right="114" w:firstLine="616"/>
        <w:jc w:val="both"/>
        <w:rPr>
          <w:spacing w:val="0"/>
        </w:rPr>
      </w:pPr>
      <w:r>
        <w:rPr>
          <w:rFonts w:hint="eastAsia"/>
          <w:spacing w:val="0"/>
        </w:rPr>
        <w:t>区直有关部门单位要将工作落实方案、调整后的权责清单、编制的业务手册、服务指南、事中事后监管细则和取消事项的监管细则等材料汇编成册后，</w:t>
      </w:r>
      <w:r>
        <w:rPr>
          <w:spacing w:val="0"/>
        </w:rPr>
        <w:t>于文件印发之日起</w:t>
      </w:r>
      <w:r>
        <w:rPr>
          <w:rFonts w:hint="eastAsia"/>
          <w:spacing w:val="0"/>
          <w:lang w:val="en-US" w:eastAsia="zh-CN"/>
        </w:rPr>
        <w:t>10</w:t>
      </w:r>
      <w:r>
        <w:rPr>
          <w:spacing w:val="0"/>
        </w:rPr>
        <w:t>个工作日内报</w:t>
      </w:r>
      <w:r>
        <w:rPr>
          <w:rFonts w:hint="eastAsia"/>
          <w:spacing w:val="0"/>
        </w:rPr>
        <w:t>区</w:t>
      </w:r>
      <w:r>
        <w:rPr>
          <w:spacing w:val="0"/>
        </w:rPr>
        <w:t>政府。</w:t>
      </w:r>
    </w:p>
    <w:p>
      <w:pPr>
        <w:pStyle w:val="3"/>
        <w:spacing w:line="560" w:lineRule="exact"/>
        <w:jc w:val="both"/>
        <w:rPr>
          <w:spacing w:val="0"/>
        </w:rPr>
      </w:pPr>
    </w:p>
    <w:p>
      <w:pPr>
        <w:pStyle w:val="3"/>
        <w:spacing w:before="221"/>
        <w:ind w:left="764"/>
        <w:rPr>
          <w:spacing w:val="0"/>
        </w:rPr>
      </w:pPr>
      <w:r>
        <w:rPr>
          <w:spacing w:val="0"/>
        </w:rPr>
        <w:t>附件：</w:t>
      </w:r>
      <w:r>
        <w:rPr>
          <w:rFonts w:hint="eastAsia"/>
          <w:spacing w:val="0"/>
        </w:rPr>
        <w:t>台儿庄区</w:t>
      </w:r>
      <w:r>
        <w:rPr>
          <w:spacing w:val="0"/>
        </w:rPr>
        <w:t>2021年第一批调整行政权力事项表（</w:t>
      </w:r>
      <w:r>
        <w:rPr>
          <w:rFonts w:hint="eastAsia"/>
          <w:spacing w:val="0"/>
          <w:lang w:val="en-US" w:eastAsia="zh-CN"/>
        </w:rPr>
        <w:t>39</w:t>
      </w:r>
      <w:r>
        <w:rPr>
          <w:spacing w:val="0"/>
        </w:rPr>
        <w:t>项）</w:t>
      </w:r>
    </w:p>
    <w:p>
      <w:pPr>
        <w:pStyle w:val="3"/>
        <w:spacing w:before="10"/>
        <w:rPr>
          <w:spacing w:val="0"/>
          <w:sz w:val="24"/>
        </w:rPr>
      </w:pPr>
    </w:p>
    <w:p>
      <w:pPr>
        <w:pStyle w:val="3"/>
        <w:spacing w:before="10"/>
        <w:rPr>
          <w:spacing w:val="0"/>
          <w:sz w:val="24"/>
        </w:rPr>
      </w:pPr>
    </w:p>
    <w:p>
      <w:pPr>
        <w:pStyle w:val="3"/>
        <w:spacing w:before="55" w:line="304" w:lineRule="auto"/>
        <w:ind w:left="6093" w:right="720" w:hanging="641"/>
        <w:rPr>
          <w:spacing w:val="0"/>
        </w:rPr>
      </w:pPr>
      <w:r>
        <w:rPr>
          <w:rFonts w:hint="eastAsia"/>
          <w:spacing w:val="0"/>
        </w:rPr>
        <w:t>台儿庄区</w:t>
      </w:r>
      <w:r>
        <w:rPr>
          <w:spacing w:val="0"/>
        </w:rPr>
        <w:t>人民</w:t>
      </w:r>
      <w:r>
        <w:rPr>
          <w:rFonts w:hint="eastAsia"/>
          <w:spacing w:val="0"/>
        </w:rPr>
        <w:t>政府</w:t>
      </w:r>
    </w:p>
    <w:p>
      <w:pPr>
        <w:pStyle w:val="3"/>
        <w:spacing w:before="55" w:line="304" w:lineRule="auto"/>
        <w:ind w:left="110" w:leftChars="50" w:right="720" w:firstLine="5760" w:firstLineChars="1800"/>
        <w:rPr>
          <w:spacing w:val="0"/>
        </w:rPr>
      </w:pPr>
      <w:r>
        <w:rPr>
          <w:spacing w:val="0"/>
        </w:rPr>
        <w:t>2021年2月</w:t>
      </w:r>
      <w:r>
        <w:rPr>
          <w:rFonts w:hint="eastAsia"/>
          <w:spacing w:val="0"/>
          <w:lang w:val="en-US" w:eastAsia="zh-CN"/>
        </w:rPr>
        <w:t>25</w:t>
      </w:r>
      <w:r>
        <w:rPr>
          <w:spacing w:val="0"/>
        </w:rPr>
        <w:t>日</w:t>
      </w:r>
    </w:p>
    <w:p>
      <w:pPr>
        <w:pStyle w:val="3"/>
        <w:spacing w:before="63"/>
        <w:ind w:left="764"/>
        <w:rPr>
          <w:spacing w:val="0"/>
        </w:rPr>
      </w:pPr>
      <w:r>
        <w:rPr>
          <w:spacing w:val="0"/>
        </w:rPr>
        <w:t>（此件公开发布）</w:t>
      </w:r>
    </w:p>
    <w:p>
      <w:pPr>
        <w:tabs>
          <w:tab w:val="left" w:pos="7495"/>
        </w:tabs>
        <w:rPr>
          <w:rFonts w:hint="eastAsia" w:eastAsia="宋体"/>
          <w:sz w:val="28"/>
          <w:lang w:eastAsia="zh-CN"/>
        </w:rPr>
        <w:sectPr>
          <w:footerReference r:id="rId3" w:type="default"/>
          <w:pgSz w:w="11910" w:h="16840"/>
          <w:pgMar w:top="1984" w:right="1588" w:bottom="1984" w:left="1588" w:header="720" w:footer="720" w:gutter="0"/>
          <w:pgNumType w:fmt="numberInDash"/>
          <w:cols w:space="0" w:num="1"/>
          <w:rtlGutter w:val="0"/>
          <w:docGrid w:linePitch="0" w:charSpace="0"/>
        </w:sectPr>
      </w:pPr>
      <w:r>
        <w:rPr>
          <w:rFonts w:hint="eastAsia"/>
          <w:sz w:val="28"/>
          <w:lang w:eastAsia="zh-CN"/>
        </w:rPr>
        <w:tab/>
      </w:r>
    </w:p>
    <w:p>
      <w:pPr>
        <w:pStyle w:val="3"/>
        <w:spacing w:before="55" w:line="403" w:lineRule="exact"/>
        <w:rPr>
          <w:rFonts w:ascii="黑体" w:eastAsia="黑体"/>
        </w:rPr>
      </w:pPr>
      <w:r>
        <w:rPr>
          <w:rFonts w:hint="eastAsia" w:ascii="黑体" w:eastAsia="黑体"/>
        </w:rPr>
        <w:t>附件</w:t>
      </w:r>
    </w:p>
    <w:p>
      <w:pPr>
        <w:pStyle w:val="2"/>
        <w:spacing w:line="771" w:lineRule="exact"/>
        <w:ind w:left="0" w:right="-5"/>
        <w:rPr>
          <w:sz w:val="8"/>
        </w:rPr>
      </w:pPr>
      <w:r>
        <w:rPr>
          <w:rFonts w:hint="eastAsia"/>
        </w:rPr>
        <w:t>台儿庄区</w:t>
      </w:r>
      <w:r>
        <w:t>2021年第一批调整行政权力事项表（</w:t>
      </w:r>
      <w:r>
        <w:rPr>
          <w:rFonts w:hint="eastAsia"/>
          <w:lang w:val="en-US" w:eastAsia="zh-CN"/>
        </w:rPr>
        <w:t>39</w:t>
      </w:r>
      <w:r>
        <w:t>项）</w:t>
      </w:r>
    </w:p>
    <w:tbl>
      <w:tblPr>
        <w:tblStyle w:val="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336"/>
        <w:gridCol w:w="2376"/>
        <w:gridCol w:w="892"/>
        <w:gridCol w:w="2277"/>
        <w:gridCol w:w="502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645" w:type="dxa"/>
          </w:tcPr>
          <w:p>
            <w:pPr>
              <w:pStyle w:val="10"/>
              <w:spacing w:before="88" w:line="201" w:lineRule="auto"/>
              <w:ind w:left="182" w:right="162"/>
              <w:rPr>
                <w:rFonts w:ascii="黑体" w:eastAsia="黑体"/>
                <w:sz w:val="28"/>
              </w:rPr>
            </w:pPr>
            <w:r>
              <w:rPr>
                <w:rFonts w:hint="eastAsia" w:ascii="黑体" w:eastAsia="黑体"/>
                <w:sz w:val="28"/>
              </w:rPr>
              <w:t>序号</w:t>
            </w:r>
          </w:p>
        </w:tc>
        <w:tc>
          <w:tcPr>
            <w:tcW w:w="1336" w:type="dxa"/>
          </w:tcPr>
          <w:p>
            <w:pPr>
              <w:pStyle w:val="10"/>
              <w:spacing w:before="194"/>
              <w:ind w:left="120"/>
              <w:rPr>
                <w:rFonts w:ascii="黑体" w:eastAsia="黑体"/>
                <w:sz w:val="28"/>
              </w:rPr>
            </w:pPr>
            <w:r>
              <w:rPr>
                <w:rFonts w:hint="eastAsia" w:ascii="黑体" w:eastAsia="黑体"/>
                <w:sz w:val="28"/>
              </w:rPr>
              <w:t>实施部门</w:t>
            </w:r>
          </w:p>
        </w:tc>
        <w:tc>
          <w:tcPr>
            <w:tcW w:w="2376" w:type="dxa"/>
          </w:tcPr>
          <w:p>
            <w:pPr>
              <w:pStyle w:val="10"/>
              <w:spacing w:before="194"/>
              <w:ind w:left="221"/>
              <w:rPr>
                <w:rFonts w:ascii="黑体" w:eastAsia="黑体"/>
                <w:sz w:val="28"/>
              </w:rPr>
            </w:pPr>
            <w:r>
              <w:rPr>
                <w:rFonts w:hint="eastAsia" w:ascii="黑体" w:eastAsia="黑体"/>
                <w:sz w:val="28"/>
              </w:rPr>
              <w:t>事项名称及权限</w:t>
            </w:r>
          </w:p>
        </w:tc>
        <w:tc>
          <w:tcPr>
            <w:tcW w:w="892" w:type="dxa"/>
          </w:tcPr>
          <w:p>
            <w:pPr>
              <w:pStyle w:val="10"/>
              <w:spacing w:before="88" w:line="201" w:lineRule="auto"/>
              <w:ind w:left="177" w:right="148"/>
              <w:rPr>
                <w:rFonts w:ascii="黑体" w:eastAsia="黑体"/>
                <w:sz w:val="28"/>
              </w:rPr>
            </w:pPr>
            <w:r>
              <w:rPr>
                <w:rFonts w:hint="eastAsia" w:ascii="黑体" w:eastAsia="黑体"/>
                <w:sz w:val="28"/>
              </w:rPr>
              <w:t>事项类别</w:t>
            </w:r>
          </w:p>
        </w:tc>
        <w:tc>
          <w:tcPr>
            <w:tcW w:w="2277" w:type="dxa"/>
          </w:tcPr>
          <w:p>
            <w:pPr>
              <w:pStyle w:val="10"/>
              <w:spacing w:before="194"/>
              <w:ind w:left="115" w:right="88"/>
              <w:jc w:val="center"/>
              <w:rPr>
                <w:rFonts w:ascii="黑体" w:eastAsia="黑体"/>
                <w:sz w:val="28"/>
              </w:rPr>
            </w:pPr>
            <w:r>
              <w:rPr>
                <w:rFonts w:hint="eastAsia" w:ascii="黑体" w:eastAsia="黑体"/>
                <w:sz w:val="28"/>
              </w:rPr>
              <w:t>调整意见</w:t>
            </w:r>
          </w:p>
        </w:tc>
        <w:tc>
          <w:tcPr>
            <w:tcW w:w="5027" w:type="dxa"/>
          </w:tcPr>
          <w:p>
            <w:pPr>
              <w:pStyle w:val="10"/>
              <w:spacing w:before="194"/>
              <w:ind w:left="1124"/>
              <w:rPr>
                <w:rFonts w:ascii="黑体" w:eastAsia="黑体"/>
                <w:sz w:val="28"/>
              </w:rPr>
            </w:pPr>
            <w:r>
              <w:rPr>
                <w:rFonts w:hint="eastAsia" w:ascii="黑体" w:eastAsia="黑体"/>
                <w:sz w:val="28"/>
              </w:rPr>
              <w:t>加强事中事后监管措施</w:t>
            </w:r>
          </w:p>
        </w:tc>
        <w:tc>
          <w:tcPr>
            <w:tcW w:w="1230" w:type="dxa"/>
          </w:tcPr>
          <w:p>
            <w:pPr>
              <w:pStyle w:val="10"/>
              <w:spacing w:before="194"/>
              <w:ind w:left="344"/>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13783" w:type="dxa"/>
            <w:gridSpan w:val="7"/>
          </w:tcPr>
          <w:p>
            <w:pPr>
              <w:pStyle w:val="10"/>
              <w:spacing w:before="143"/>
              <w:rPr>
                <w:rFonts w:ascii="楷体_GB2312" w:eastAsia="楷体_GB2312"/>
                <w:sz w:val="28"/>
              </w:rPr>
            </w:pPr>
            <w:r>
              <w:rPr>
                <w:rFonts w:hint="eastAsia" w:ascii="楷体_GB2312" w:eastAsia="楷体_GB2312"/>
                <w:sz w:val="28"/>
              </w:rPr>
              <w:t>一、取消的行政权力事项（2</w:t>
            </w:r>
            <w:r>
              <w:rPr>
                <w:rFonts w:hint="eastAsia" w:ascii="楷体_GB2312" w:eastAsia="楷体_GB2312"/>
                <w:sz w:val="28"/>
                <w:lang w:val="en-US" w:eastAsia="zh-CN"/>
              </w:rPr>
              <w:t>2</w:t>
            </w:r>
            <w:r>
              <w:rPr>
                <w:rFonts w:hint="eastAsia" w:ascii="楷体_GB2312" w:eastAsia="楷体_GB2312"/>
                <w:sz w:val="28"/>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645" w:type="dxa"/>
            <w:vAlign w:val="center"/>
          </w:tcPr>
          <w:p>
            <w:pPr>
              <w:pStyle w:val="10"/>
              <w:ind w:left="16"/>
              <w:jc w:val="center"/>
              <w:rPr>
                <w:sz w:val="21"/>
              </w:rPr>
            </w:pPr>
            <w:r>
              <w:rPr>
                <w:sz w:val="21"/>
              </w:rPr>
              <w:t>1</w:t>
            </w:r>
          </w:p>
        </w:tc>
        <w:tc>
          <w:tcPr>
            <w:tcW w:w="1336" w:type="dxa"/>
            <w:vAlign w:val="center"/>
          </w:tcPr>
          <w:p>
            <w:pPr>
              <w:pStyle w:val="10"/>
              <w:spacing w:line="300" w:lineRule="exact"/>
              <w:ind w:left="155" w:right="-15" w:hanging="35"/>
              <w:jc w:val="center"/>
              <w:rPr>
                <w:sz w:val="21"/>
              </w:rPr>
            </w:pPr>
            <w:r>
              <w:rPr>
                <w:rFonts w:hint="eastAsia"/>
                <w:spacing w:val="-13"/>
                <w:sz w:val="21"/>
              </w:rPr>
              <w:t>区民族宗教局</w:t>
            </w:r>
          </w:p>
        </w:tc>
        <w:tc>
          <w:tcPr>
            <w:tcW w:w="2376" w:type="dxa"/>
            <w:vAlign w:val="center"/>
          </w:tcPr>
          <w:p>
            <w:pPr>
              <w:pStyle w:val="10"/>
              <w:spacing w:before="28" w:line="268" w:lineRule="auto"/>
              <w:ind w:left="16" w:right="118"/>
              <w:jc w:val="both"/>
              <w:rPr>
                <w:sz w:val="21"/>
              </w:rPr>
            </w:pPr>
            <w:r>
              <w:rPr>
                <w:sz w:val="21"/>
              </w:rPr>
              <w:t>对民族政策和法律法规执行情况的监督检查</w:t>
            </w:r>
          </w:p>
        </w:tc>
        <w:tc>
          <w:tcPr>
            <w:tcW w:w="892" w:type="dxa"/>
            <w:vAlign w:val="center"/>
          </w:tcPr>
          <w:p>
            <w:pPr>
              <w:pStyle w:val="10"/>
              <w:spacing w:before="180" w:line="268" w:lineRule="auto"/>
              <w:ind w:left="247" w:right="217"/>
              <w:jc w:val="center"/>
              <w:rPr>
                <w:sz w:val="21"/>
              </w:rPr>
            </w:pPr>
            <w:r>
              <w:rPr>
                <w:sz w:val="21"/>
              </w:rPr>
              <w:t>行政检查</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rPr>
            </w:pPr>
          </w:p>
        </w:tc>
        <w:tc>
          <w:tcPr>
            <w:tcW w:w="1230" w:type="dxa"/>
            <w:vAlign w:val="center"/>
          </w:tcPr>
          <w:p>
            <w:pPr>
              <w:pStyle w:val="10"/>
              <w:spacing w:line="300" w:lineRule="exact"/>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jc w:val="center"/>
        </w:trPr>
        <w:tc>
          <w:tcPr>
            <w:tcW w:w="645" w:type="dxa"/>
            <w:vAlign w:val="center"/>
          </w:tcPr>
          <w:p>
            <w:pPr>
              <w:pStyle w:val="10"/>
              <w:ind w:left="16"/>
              <w:jc w:val="center"/>
              <w:rPr>
                <w:sz w:val="21"/>
              </w:rPr>
            </w:pPr>
            <w:r>
              <w:rPr>
                <w:sz w:val="21"/>
              </w:rPr>
              <w:t>2</w:t>
            </w:r>
          </w:p>
        </w:tc>
        <w:tc>
          <w:tcPr>
            <w:tcW w:w="1336" w:type="dxa"/>
            <w:vAlign w:val="center"/>
          </w:tcPr>
          <w:p>
            <w:pPr>
              <w:pStyle w:val="10"/>
              <w:spacing w:line="268" w:lineRule="auto"/>
              <w:ind w:left="365" w:right="123" w:hanging="210"/>
              <w:jc w:val="center"/>
              <w:rPr>
                <w:sz w:val="21"/>
              </w:rPr>
            </w:pPr>
            <w:r>
              <w:rPr>
                <w:sz w:val="21"/>
              </w:rPr>
              <w:t>区公安</w:t>
            </w:r>
            <w:r>
              <w:rPr>
                <w:rFonts w:hint="eastAsia"/>
                <w:sz w:val="21"/>
              </w:rPr>
              <w:t>分局</w:t>
            </w:r>
          </w:p>
        </w:tc>
        <w:tc>
          <w:tcPr>
            <w:tcW w:w="2376" w:type="dxa"/>
            <w:vAlign w:val="center"/>
          </w:tcPr>
          <w:p>
            <w:pPr>
              <w:pStyle w:val="10"/>
              <w:spacing w:before="28" w:line="268" w:lineRule="auto"/>
              <w:ind w:left="16" w:right="118"/>
              <w:jc w:val="both"/>
              <w:rPr>
                <w:sz w:val="21"/>
              </w:rPr>
            </w:pPr>
            <w:r>
              <w:rPr>
                <w:sz w:val="21"/>
              </w:rPr>
              <w:t>典当业特种行业许可证核发</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line="268" w:lineRule="auto"/>
              <w:ind w:left="119" w:right="88"/>
              <w:jc w:val="center"/>
              <w:rPr>
                <w:sz w:val="21"/>
              </w:rPr>
            </w:pPr>
            <w:r>
              <w:rPr>
                <w:rFonts w:hint="eastAsia"/>
                <w:sz w:val="21"/>
              </w:rPr>
              <w:t>取消</w:t>
            </w:r>
          </w:p>
        </w:tc>
        <w:tc>
          <w:tcPr>
            <w:tcW w:w="5027" w:type="dxa"/>
            <w:vAlign w:val="center"/>
          </w:tcPr>
          <w:p>
            <w:pPr>
              <w:pStyle w:val="10"/>
              <w:spacing w:before="29" w:line="268" w:lineRule="auto"/>
              <w:ind w:left="119" w:right="41"/>
              <w:rPr>
                <w:sz w:val="21"/>
              </w:rPr>
            </w:pPr>
            <w:r>
              <w:rPr>
                <w:sz w:val="21"/>
              </w:rPr>
              <w:t>取消许可后，公安机关和地方金融监管部门要通过以下措施加强监管：</w:t>
            </w:r>
          </w:p>
          <w:p>
            <w:pPr>
              <w:pStyle w:val="10"/>
              <w:tabs>
                <w:tab w:val="left" w:pos="331"/>
              </w:tabs>
              <w:spacing w:line="268" w:lineRule="auto"/>
              <w:ind w:left="119" w:right="90"/>
              <w:rPr>
                <w:sz w:val="21"/>
              </w:rPr>
            </w:pPr>
            <w:r>
              <w:rPr>
                <w:rFonts w:hint="eastAsia"/>
                <w:sz w:val="21"/>
              </w:rPr>
              <w:t>1、</w:t>
            </w:r>
            <w:r>
              <w:rPr>
                <w:sz w:val="21"/>
              </w:rPr>
              <w:t>地方金融监管部门将办理“设立典当行及分支机构审批（含设立、变更、注销）”的相关信息，在省级作出审批决定后 5 个工作日内推送至公安部门，公安部门据此将典当行及分支机构纳入监管范围，依法实施监管。</w:t>
            </w:r>
          </w:p>
          <w:p>
            <w:pPr>
              <w:pStyle w:val="10"/>
              <w:tabs>
                <w:tab w:val="left" w:pos="331"/>
              </w:tabs>
              <w:spacing w:line="268" w:lineRule="auto"/>
              <w:ind w:left="119" w:right="90"/>
              <w:rPr>
                <w:sz w:val="21"/>
              </w:rPr>
            </w:pPr>
            <w:r>
              <w:rPr>
                <w:rFonts w:hint="eastAsia"/>
                <w:sz w:val="21"/>
              </w:rPr>
              <w:t>2、</w:t>
            </w:r>
            <w:r>
              <w:rPr>
                <w:sz w:val="21"/>
              </w:rPr>
              <w:t>通过“双随机、一公开”监管等方式，加强对典当行的治安管理，及时化解风险隐患，发现违法犯罪活动要依法查处。</w:t>
            </w:r>
          </w:p>
        </w:tc>
        <w:tc>
          <w:tcPr>
            <w:tcW w:w="1230" w:type="dxa"/>
            <w:vAlign w:val="center"/>
          </w:tcPr>
          <w:p>
            <w:pPr>
              <w:pStyle w:val="10"/>
              <w:ind w:left="118"/>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jc w:val="center"/>
        </w:trPr>
        <w:tc>
          <w:tcPr>
            <w:tcW w:w="645" w:type="dxa"/>
            <w:vAlign w:val="center"/>
          </w:tcPr>
          <w:p>
            <w:pPr>
              <w:pStyle w:val="10"/>
              <w:spacing w:before="1"/>
              <w:ind w:left="16"/>
              <w:jc w:val="center"/>
              <w:rPr>
                <w:sz w:val="21"/>
              </w:rPr>
            </w:pPr>
            <w:r>
              <w:rPr>
                <w:sz w:val="21"/>
              </w:rPr>
              <w:t>3</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承担应当登记测绘项目的单位实施测绘前未向测绘行政主管部门办理登记手续的处罚</w:t>
            </w:r>
          </w:p>
        </w:tc>
        <w:tc>
          <w:tcPr>
            <w:tcW w:w="892" w:type="dxa"/>
            <w:vAlign w:val="center"/>
          </w:tcPr>
          <w:p>
            <w:pPr>
              <w:pStyle w:val="10"/>
              <w:spacing w:before="180" w:line="268" w:lineRule="auto"/>
              <w:ind w:left="247" w:right="217"/>
              <w:jc w:val="center"/>
              <w:rPr>
                <w:sz w:val="21"/>
              </w:rPr>
            </w:pPr>
            <w:r>
              <w:rPr>
                <w:sz w:val="21"/>
              </w:rPr>
              <w:t>行政处罚</w:t>
            </w:r>
          </w:p>
        </w:tc>
        <w:tc>
          <w:tcPr>
            <w:tcW w:w="2277" w:type="dxa"/>
            <w:vAlign w:val="center"/>
          </w:tcPr>
          <w:p>
            <w:pPr>
              <w:pStyle w:val="10"/>
              <w:spacing w:before="1"/>
              <w:ind w:left="16" w:right="88"/>
              <w:jc w:val="center"/>
              <w:rPr>
                <w:sz w:val="21"/>
              </w:rPr>
            </w:pPr>
            <w:r>
              <w:rPr>
                <w:sz w:val="21"/>
              </w:rPr>
              <w:t>取消</w:t>
            </w:r>
          </w:p>
        </w:tc>
        <w:tc>
          <w:tcPr>
            <w:tcW w:w="5027" w:type="dxa"/>
            <w:vAlign w:val="center"/>
          </w:tcPr>
          <w:p>
            <w:pPr>
              <w:pStyle w:val="10"/>
              <w:ind w:left="16"/>
              <w:jc w:val="center"/>
              <w:rPr>
                <w:sz w:val="21"/>
              </w:rPr>
            </w:pPr>
          </w:p>
        </w:tc>
        <w:tc>
          <w:tcPr>
            <w:tcW w:w="1230" w:type="dxa"/>
            <w:vAlign w:val="center"/>
          </w:tcPr>
          <w:p>
            <w:pPr>
              <w:pStyle w:val="10"/>
              <w:spacing w:before="178" w:line="268" w:lineRule="auto"/>
              <w:ind w:left="16"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jc w:val="center"/>
        </w:trPr>
        <w:tc>
          <w:tcPr>
            <w:tcW w:w="645" w:type="dxa"/>
            <w:vAlign w:val="center"/>
          </w:tcPr>
          <w:p>
            <w:pPr>
              <w:pStyle w:val="10"/>
              <w:ind w:left="16"/>
              <w:jc w:val="center"/>
              <w:rPr>
                <w:sz w:val="21"/>
              </w:rPr>
            </w:pPr>
            <w:r>
              <w:rPr>
                <w:sz w:val="21"/>
              </w:rPr>
              <w:t>4</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未经批准擅自以测绘为目的进行航空摄影或者遥感的处罚</w:t>
            </w:r>
          </w:p>
        </w:tc>
        <w:tc>
          <w:tcPr>
            <w:tcW w:w="892" w:type="dxa"/>
            <w:vAlign w:val="center"/>
          </w:tcPr>
          <w:p>
            <w:pPr>
              <w:pStyle w:val="10"/>
              <w:spacing w:before="180"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300" w:lineRule="exact"/>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645" w:type="dxa"/>
          </w:tcPr>
          <w:p>
            <w:pPr>
              <w:pStyle w:val="10"/>
              <w:spacing w:before="89" w:line="201" w:lineRule="auto"/>
              <w:ind w:left="182" w:right="162"/>
              <w:jc w:val="center"/>
              <w:rPr>
                <w:rFonts w:ascii="黑体" w:eastAsia="黑体"/>
                <w:sz w:val="28"/>
              </w:rPr>
            </w:pPr>
            <w:r>
              <w:rPr>
                <w:rFonts w:hint="eastAsia" w:ascii="黑体" w:eastAsia="黑体"/>
                <w:sz w:val="28"/>
              </w:rPr>
              <w:t>序号</w:t>
            </w:r>
          </w:p>
        </w:tc>
        <w:tc>
          <w:tcPr>
            <w:tcW w:w="1336" w:type="dxa"/>
          </w:tcPr>
          <w:p>
            <w:pPr>
              <w:pStyle w:val="10"/>
              <w:spacing w:before="194"/>
              <w:ind w:left="120"/>
              <w:jc w:val="center"/>
              <w:rPr>
                <w:rFonts w:ascii="黑体" w:eastAsia="黑体"/>
                <w:sz w:val="28"/>
              </w:rPr>
            </w:pPr>
            <w:r>
              <w:rPr>
                <w:rFonts w:hint="eastAsia" w:ascii="黑体" w:eastAsia="黑体"/>
                <w:sz w:val="28"/>
              </w:rPr>
              <w:t>实施部门</w:t>
            </w:r>
          </w:p>
        </w:tc>
        <w:tc>
          <w:tcPr>
            <w:tcW w:w="2376" w:type="dxa"/>
          </w:tcPr>
          <w:p>
            <w:pPr>
              <w:pStyle w:val="10"/>
              <w:spacing w:before="194"/>
              <w:ind w:left="221"/>
              <w:jc w:val="center"/>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jc w:val="center"/>
              <w:rPr>
                <w:rFonts w:ascii="黑体" w:eastAsia="黑体"/>
                <w:sz w:val="28"/>
              </w:rPr>
            </w:pPr>
            <w:r>
              <w:rPr>
                <w:rFonts w:hint="eastAsia" w:ascii="黑体" w:eastAsia="黑体"/>
                <w:sz w:val="28"/>
              </w:rPr>
              <w:t>事项类别</w:t>
            </w:r>
          </w:p>
        </w:tc>
        <w:tc>
          <w:tcPr>
            <w:tcW w:w="2277" w:type="dxa"/>
          </w:tcPr>
          <w:p>
            <w:pPr>
              <w:pStyle w:val="10"/>
              <w:spacing w:before="194"/>
              <w:ind w:left="115" w:right="88"/>
              <w:jc w:val="center"/>
              <w:rPr>
                <w:rFonts w:ascii="黑体" w:eastAsia="黑体"/>
                <w:sz w:val="28"/>
              </w:rPr>
            </w:pPr>
            <w:r>
              <w:rPr>
                <w:rFonts w:hint="eastAsia" w:ascii="黑体" w:eastAsia="黑体"/>
                <w:sz w:val="28"/>
              </w:rPr>
              <w:t>调整意见</w:t>
            </w:r>
          </w:p>
        </w:tc>
        <w:tc>
          <w:tcPr>
            <w:tcW w:w="5027" w:type="dxa"/>
          </w:tcPr>
          <w:p>
            <w:pPr>
              <w:pStyle w:val="10"/>
              <w:spacing w:before="194"/>
              <w:ind w:left="1124"/>
              <w:jc w:val="center"/>
              <w:rPr>
                <w:rFonts w:ascii="黑体" w:eastAsia="黑体"/>
                <w:sz w:val="28"/>
              </w:rPr>
            </w:pPr>
            <w:r>
              <w:rPr>
                <w:rFonts w:hint="eastAsia" w:ascii="黑体" w:eastAsia="黑体"/>
                <w:sz w:val="28"/>
              </w:rPr>
              <w:t>加强事中事后监管措施</w:t>
            </w:r>
          </w:p>
        </w:tc>
        <w:tc>
          <w:tcPr>
            <w:tcW w:w="1230" w:type="dxa"/>
          </w:tcPr>
          <w:p>
            <w:pPr>
              <w:pStyle w:val="10"/>
              <w:spacing w:before="194"/>
              <w:ind w:left="344"/>
              <w:jc w:val="center"/>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645" w:type="dxa"/>
            <w:vAlign w:val="center"/>
          </w:tcPr>
          <w:p>
            <w:pPr>
              <w:pStyle w:val="10"/>
              <w:ind w:left="16"/>
              <w:jc w:val="center"/>
              <w:rPr>
                <w:sz w:val="21"/>
              </w:rPr>
            </w:pPr>
            <w:r>
              <w:rPr>
                <w:sz w:val="21"/>
              </w:rPr>
              <w:t>5</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未经批准擅自向外国组织和个人及在我国注册的外商投资企业提供测绘成果的处罚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before="179"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jc w:val="center"/>
        </w:trPr>
        <w:tc>
          <w:tcPr>
            <w:tcW w:w="645" w:type="dxa"/>
            <w:vAlign w:val="center"/>
          </w:tcPr>
          <w:p>
            <w:pPr>
              <w:pStyle w:val="10"/>
              <w:ind w:left="16"/>
              <w:jc w:val="center"/>
              <w:rPr>
                <w:sz w:val="21"/>
              </w:rPr>
            </w:pPr>
            <w:r>
              <w:rPr>
                <w:sz w:val="21"/>
              </w:rPr>
              <w:t>6</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基础测绘项目、省重点工程测绘项目和使用财政资金五十万元以上的测绘项目,其测绘成果未经专门的测绘产品质量检验机构检验的处罚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hanging="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jc w:val="center"/>
        </w:trPr>
        <w:tc>
          <w:tcPr>
            <w:tcW w:w="645" w:type="dxa"/>
            <w:vAlign w:val="center"/>
          </w:tcPr>
          <w:p>
            <w:pPr>
              <w:pStyle w:val="10"/>
              <w:spacing w:before="1"/>
              <w:ind w:left="16"/>
              <w:jc w:val="center"/>
              <w:rPr>
                <w:sz w:val="21"/>
              </w:rPr>
            </w:pPr>
            <w:r>
              <w:rPr>
                <w:sz w:val="21"/>
              </w:rPr>
              <w:t>7</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编制、出版、展示或者登载未出版的地图,未加印省测绘行政主管部门的批准文号的处罚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spacing w:before="1"/>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before="180"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jc w:val="center"/>
        </w:trPr>
        <w:tc>
          <w:tcPr>
            <w:tcW w:w="645" w:type="dxa"/>
            <w:vAlign w:val="center"/>
          </w:tcPr>
          <w:p>
            <w:pPr>
              <w:pStyle w:val="10"/>
              <w:ind w:left="16"/>
              <w:jc w:val="center"/>
              <w:rPr>
                <w:sz w:val="21"/>
              </w:rPr>
            </w:pPr>
            <w:r>
              <w:rPr>
                <w:sz w:val="21"/>
              </w:rPr>
              <w:t>8</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广告版面超过地图图幅百分之二十或者压盖地图内容的处罚</w:t>
            </w:r>
          </w:p>
        </w:tc>
        <w:tc>
          <w:tcPr>
            <w:tcW w:w="892" w:type="dxa"/>
            <w:vAlign w:val="center"/>
          </w:tcPr>
          <w:p>
            <w:pPr>
              <w:pStyle w:val="10"/>
              <w:spacing w:before="179"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47" w:lineRule="exact"/>
              <w:ind w:left="118"/>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645" w:type="dxa"/>
            <w:vAlign w:val="center"/>
          </w:tcPr>
          <w:p>
            <w:pPr>
              <w:pStyle w:val="10"/>
              <w:spacing w:before="1"/>
              <w:ind w:left="16"/>
              <w:jc w:val="center"/>
              <w:rPr>
                <w:sz w:val="21"/>
              </w:rPr>
            </w:pPr>
            <w:r>
              <w:rPr>
                <w:sz w:val="21"/>
              </w:rPr>
              <w:t>9</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伪造、涂改、转借、转让测绘资质证书、测绘执业资格证书、测绘作业证件的处罚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spacing w:before="1"/>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before="180"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645" w:type="dxa"/>
            <w:vAlign w:val="center"/>
          </w:tcPr>
          <w:p>
            <w:pPr>
              <w:pStyle w:val="10"/>
              <w:ind w:left="196" w:right="180"/>
              <w:jc w:val="center"/>
              <w:rPr>
                <w:sz w:val="21"/>
              </w:rPr>
            </w:pPr>
            <w:r>
              <w:rPr>
                <w:sz w:val="21"/>
              </w:rPr>
              <w:t>10</w:t>
            </w:r>
          </w:p>
        </w:tc>
        <w:tc>
          <w:tcPr>
            <w:tcW w:w="1336" w:type="dxa"/>
            <w:vAlign w:val="center"/>
          </w:tcPr>
          <w:p>
            <w:pPr>
              <w:pStyle w:val="10"/>
              <w:spacing w:before="178" w:line="268" w:lineRule="auto"/>
              <w:ind w:left="16" w:right="-15"/>
              <w:jc w:val="center"/>
              <w:rPr>
                <w:sz w:val="21"/>
              </w:rPr>
            </w:pPr>
            <w:r>
              <w:rPr>
                <w:rFonts w:hint="eastAsia"/>
                <w:sz w:val="21"/>
              </w:rPr>
              <w:t>区住房和城乡建设局</w:t>
            </w:r>
          </w:p>
        </w:tc>
        <w:tc>
          <w:tcPr>
            <w:tcW w:w="2376" w:type="dxa"/>
            <w:vAlign w:val="center"/>
          </w:tcPr>
          <w:p>
            <w:pPr>
              <w:pStyle w:val="10"/>
              <w:spacing w:before="178" w:line="268" w:lineRule="auto"/>
              <w:ind w:left="16" w:right="-15"/>
              <w:jc w:val="both"/>
              <w:rPr>
                <w:sz w:val="21"/>
              </w:rPr>
            </w:pPr>
            <w:r>
              <w:rPr>
                <w:sz w:val="21"/>
              </w:rPr>
              <w:t>对政府投资的大中型建设工程项目初步设计文件未经审查或者经审查未通过，擅自交付施工的处罚</w:t>
            </w:r>
          </w:p>
        </w:tc>
        <w:tc>
          <w:tcPr>
            <w:tcW w:w="892" w:type="dxa"/>
            <w:vAlign w:val="center"/>
          </w:tcPr>
          <w:p>
            <w:pPr>
              <w:pStyle w:val="10"/>
              <w:spacing w:before="1"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jc w:val="center"/>
              <w:rPr>
                <w:sz w:val="21"/>
              </w:rPr>
            </w:pPr>
          </w:p>
        </w:tc>
      </w:tr>
    </w:tbl>
    <w:p>
      <w:pPr>
        <w:spacing w:before="7"/>
        <w:jc w:val="center"/>
        <w:rPr>
          <w:sz w:val="5"/>
        </w:rPr>
      </w:pPr>
    </w:p>
    <w:p>
      <w:pPr>
        <w:spacing w:before="9"/>
        <w:jc w:val="center"/>
        <w:rPr>
          <w:sz w:val="17"/>
        </w:rPr>
      </w:pPr>
    </w:p>
    <w:p>
      <w:pPr>
        <w:spacing w:before="9"/>
        <w:jc w:val="center"/>
        <w:rPr>
          <w:sz w:val="17"/>
        </w:rPr>
      </w:pPr>
    </w:p>
    <w:tbl>
      <w:tblPr>
        <w:tblStyle w:val="6"/>
        <w:tblW w:w="13783"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336"/>
        <w:gridCol w:w="2376"/>
        <w:gridCol w:w="892"/>
        <w:gridCol w:w="2277"/>
        <w:gridCol w:w="502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45" w:type="dxa"/>
          </w:tcPr>
          <w:p>
            <w:pPr>
              <w:pStyle w:val="10"/>
              <w:spacing w:before="89" w:line="201" w:lineRule="auto"/>
              <w:ind w:left="182" w:right="162"/>
              <w:jc w:val="center"/>
              <w:rPr>
                <w:rFonts w:ascii="黑体" w:eastAsia="黑体"/>
                <w:sz w:val="28"/>
              </w:rPr>
            </w:pPr>
            <w:r>
              <w:rPr>
                <w:rFonts w:hint="eastAsia" w:ascii="黑体" w:eastAsia="黑体"/>
                <w:sz w:val="28"/>
              </w:rPr>
              <w:t>序号</w:t>
            </w:r>
          </w:p>
        </w:tc>
        <w:tc>
          <w:tcPr>
            <w:tcW w:w="1336" w:type="dxa"/>
          </w:tcPr>
          <w:p>
            <w:pPr>
              <w:pStyle w:val="10"/>
              <w:spacing w:before="194"/>
              <w:ind w:left="120"/>
              <w:jc w:val="center"/>
              <w:rPr>
                <w:rFonts w:ascii="黑体" w:eastAsia="黑体"/>
                <w:sz w:val="28"/>
              </w:rPr>
            </w:pPr>
            <w:r>
              <w:rPr>
                <w:rFonts w:hint="eastAsia" w:ascii="黑体" w:eastAsia="黑体"/>
                <w:sz w:val="28"/>
              </w:rPr>
              <w:t>实施部门</w:t>
            </w:r>
          </w:p>
        </w:tc>
        <w:tc>
          <w:tcPr>
            <w:tcW w:w="2376" w:type="dxa"/>
          </w:tcPr>
          <w:p>
            <w:pPr>
              <w:pStyle w:val="10"/>
              <w:spacing w:before="194"/>
              <w:ind w:left="221"/>
              <w:jc w:val="center"/>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jc w:val="center"/>
              <w:rPr>
                <w:rFonts w:ascii="黑体" w:eastAsia="黑体"/>
                <w:sz w:val="28"/>
              </w:rPr>
            </w:pPr>
            <w:r>
              <w:rPr>
                <w:rFonts w:hint="eastAsia" w:ascii="黑体" w:eastAsia="黑体"/>
                <w:sz w:val="28"/>
              </w:rPr>
              <w:t>事项类别</w:t>
            </w:r>
          </w:p>
        </w:tc>
        <w:tc>
          <w:tcPr>
            <w:tcW w:w="2277" w:type="dxa"/>
          </w:tcPr>
          <w:p>
            <w:pPr>
              <w:pStyle w:val="10"/>
              <w:spacing w:before="194"/>
              <w:ind w:left="115" w:right="88"/>
              <w:jc w:val="center"/>
              <w:rPr>
                <w:rFonts w:ascii="黑体" w:eastAsia="黑体"/>
                <w:sz w:val="28"/>
              </w:rPr>
            </w:pPr>
            <w:r>
              <w:rPr>
                <w:rFonts w:hint="eastAsia" w:ascii="黑体" w:eastAsia="黑体"/>
                <w:sz w:val="28"/>
              </w:rPr>
              <w:t>调整意见</w:t>
            </w:r>
          </w:p>
        </w:tc>
        <w:tc>
          <w:tcPr>
            <w:tcW w:w="5027" w:type="dxa"/>
          </w:tcPr>
          <w:p>
            <w:pPr>
              <w:pStyle w:val="10"/>
              <w:spacing w:before="194"/>
              <w:ind w:left="1124"/>
              <w:jc w:val="center"/>
              <w:rPr>
                <w:rFonts w:ascii="黑体" w:eastAsia="黑体"/>
                <w:sz w:val="28"/>
              </w:rPr>
            </w:pPr>
            <w:r>
              <w:rPr>
                <w:rFonts w:hint="eastAsia" w:ascii="黑体" w:eastAsia="黑体"/>
                <w:sz w:val="28"/>
              </w:rPr>
              <w:t>加强事中事后监管措施</w:t>
            </w:r>
          </w:p>
        </w:tc>
        <w:tc>
          <w:tcPr>
            <w:tcW w:w="1230" w:type="dxa"/>
          </w:tcPr>
          <w:p>
            <w:pPr>
              <w:pStyle w:val="10"/>
              <w:spacing w:before="194"/>
              <w:ind w:left="344"/>
              <w:jc w:val="center"/>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645" w:type="dxa"/>
            <w:vAlign w:val="center"/>
          </w:tcPr>
          <w:p>
            <w:pPr>
              <w:pStyle w:val="10"/>
              <w:spacing w:before="1"/>
              <w:ind w:left="196" w:right="180"/>
              <w:jc w:val="center"/>
              <w:rPr>
                <w:sz w:val="21"/>
              </w:rPr>
            </w:pPr>
            <w:r>
              <w:rPr>
                <w:sz w:val="21"/>
              </w:rPr>
              <w:t>11</w:t>
            </w:r>
          </w:p>
        </w:tc>
        <w:tc>
          <w:tcPr>
            <w:tcW w:w="1336" w:type="dxa"/>
            <w:vAlign w:val="center"/>
          </w:tcPr>
          <w:p>
            <w:pPr>
              <w:pStyle w:val="10"/>
              <w:spacing w:before="178" w:line="268" w:lineRule="auto"/>
              <w:ind w:left="16" w:right="-15"/>
              <w:jc w:val="center"/>
              <w:rPr>
                <w:sz w:val="21"/>
              </w:rPr>
            </w:pPr>
            <w:r>
              <w:rPr>
                <w:rFonts w:hint="eastAsia"/>
                <w:sz w:val="21"/>
              </w:rPr>
              <w:t>区住房和城乡建设局</w:t>
            </w:r>
          </w:p>
        </w:tc>
        <w:tc>
          <w:tcPr>
            <w:tcW w:w="2376" w:type="dxa"/>
            <w:vAlign w:val="center"/>
          </w:tcPr>
          <w:p>
            <w:pPr>
              <w:pStyle w:val="10"/>
              <w:spacing w:before="178" w:line="268" w:lineRule="auto"/>
              <w:ind w:left="16" w:right="-15"/>
              <w:jc w:val="both"/>
              <w:rPr>
                <w:sz w:val="21"/>
              </w:rPr>
            </w:pPr>
            <w:r>
              <w:rPr>
                <w:sz w:val="21"/>
              </w:rPr>
              <w:t>对学校、幼儿园、医院等建筑工程未经抗震设防专项审查或者经审查未通过，擅自交付施工的处罚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spacing w:before="1"/>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hanging="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645" w:type="dxa"/>
            <w:vAlign w:val="center"/>
          </w:tcPr>
          <w:p>
            <w:pPr>
              <w:pStyle w:val="10"/>
              <w:ind w:left="196" w:right="180"/>
              <w:jc w:val="center"/>
              <w:rPr>
                <w:sz w:val="21"/>
              </w:rPr>
            </w:pPr>
            <w:r>
              <w:rPr>
                <w:sz w:val="21"/>
              </w:rPr>
              <w:t>12</w:t>
            </w:r>
          </w:p>
        </w:tc>
        <w:tc>
          <w:tcPr>
            <w:tcW w:w="1336" w:type="dxa"/>
            <w:vAlign w:val="center"/>
          </w:tcPr>
          <w:p>
            <w:pPr>
              <w:pStyle w:val="10"/>
              <w:spacing w:before="178" w:line="268" w:lineRule="auto"/>
              <w:ind w:left="16" w:right="-15"/>
              <w:jc w:val="center"/>
              <w:rPr>
                <w:sz w:val="21"/>
              </w:rPr>
            </w:pPr>
            <w:r>
              <w:rPr>
                <w:rFonts w:hint="eastAsia"/>
                <w:sz w:val="21"/>
              </w:rPr>
              <w:t>区住房和城乡建设局</w:t>
            </w:r>
          </w:p>
        </w:tc>
        <w:tc>
          <w:tcPr>
            <w:tcW w:w="2376" w:type="dxa"/>
            <w:vAlign w:val="center"/>
          </w:tcPr>
          <w:p>
            <w:pPr>
              <w:pStyle w:val="10"/>
              <w:spacing w:before="178" w:line="268" w:lineRule="auto"/>
              <w:ind w:left="16" w:right="-15"/>
              <w:jc w:val="both"/>
              <w:rPr>
                <w:sz w:val="21"/>
              </w:rPr>
            </w:pPr>
            <w:r>
              <w:rPr>
                <w:sz w:val="21"/>
              </w:rPr>
              <w:t>对建设单位参与搬迁活动的处罚</w:t>
            </w:r>
          </w:p>
        </w:tc>
        <w:tc>
          <w:tcPr>
            <w:tcW w:w="892" w:type="dxa"/>
            <w:vAlign w:val="center"/>
          </w:tcPr>
          <w:p>
            <w:pPr>
              <w:pStyle w:val="10"/>
              <w:spacing w:before="1"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645" w:type="dxa"/>
            <w:vAlign w:val="center"/>
          </w:tcPr>
          <w:p>
            <w:pPr>
              <w:pStyle w:val="10"/>
              <w:spacing w:before="1"/>
              <w:ind w:left="196" w:right="180"/>
              <w:jc w:val="center"/>
              <w:rPr>
                <w:sz w:val="21"/>
              </w:rPr>
            </w:pPr>
            <w:r>
              <w:rPr>
                <w:sz w:val="21"/>
              </w:rPr>
              <w:t>13</w:t>
            </w:r>
          </w:p>
        </w:tc>
        <w:tc>
          <w:tcPr>
            <w:tcW w:w="1336" w:type="dxa"/>
            <w:vAlign w:val="center"/>
          </w:tcPr>
          <w:p>
            <w:pPr>
              <w:pStyle w:val="10"/>
              <w:spacing w:before="178" w:line="268" w:lineRule="auto"/>
              <w:ind w:left="16" w:right="-15"/>
              <w:jc w:val="center"/>
              <w:rPr>
                <w:sz w:val="21"/>
              </w:rPr>
            </w:pPr>
            <w:r>
              <w:rPr>
                <w:rFonts w:hint="eastAsia"/>
                <w:sz w:val="21"/>
              </w:rPr>
              <w:t>区农业农村局</w:t>
            </w:r>
          </w:p>
        </w:tc>
        <w:tc>
          <w:tcPr>
            <w:tcW w:w="2376" w:type="dxa"/>
            <w:vAlign w:val="center"/>
          </w:tcPr>
          <w:p>
            <w:pPr>
              <w:pStyle w:val="10"/>
              <w:spacing w:before="178" w:line="268" w:lineRule="auto"/>
              <w:ind w:left="16" w:right="-15"/>
              <w:jc w:val="both"/>
              <w:rPr>
                <w:sz w:val="21"/>
              </w:rPr>
            </w:pPr>
            <w:r>
              <w:rPr>
                <w:sz w:val="21"/>
              </w:rPr>
              <w:t>对生猪定点屠宰厂（场） 或者小型生猪屠宰场点屠宰技术人员未依法取得县级以上医疗机构开具的健康证明的处罚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spacing w:before="1"/>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645" w:type="dxa"/>
            <w:vAlign w:val="center"/>
          </w:tcPr>
          <w:p>
            <w:pPr>
              <w:pStyle w:val="10"/>
              <w:spacing w:before="1"/>
              <w:ind w:left="196" w:right="180"/>
              <w:jc w:val="center"/>
              <w:rPr>
                <w:sz w:val="21"/>
              </w:rPr>
            </w:pPr>
            <w:r>
              <w:rPr>
                <w:sz w:val="21"/>
              </w:rPr>
              <w:t>14</w:t>
            </w:r>
          </w:p>
        </w:tc>
        <w:tc>
          <w:tcPr>
            <w:tcW w:w="1336" w:type="dxa"/>
            <w:vAlign w:val="center"/>
          </w:tcPr>
          <w:p>
            <w:pPr>
              <w:pStyle w:val="10"/>
              <w:spacing w:before="178" w:line="268" w:lineRule="auto"/>
              <w:ind w:left="16" w:right="-15"/>
              <w:jc w:val="center"/>
              <w:rPr>
                <w:sz w:val="21"/>
              </w:rPr>
            </w:pPr>
            <w:r>
              <w:rPr>
                <w:rFonts w:hint="eastAsia"/>
                <w:sz w:val="21"/>
              </w:rPr>
              <w:t>区农业农村局</w:t>
            </w:r>
          </w:p>
        </w:tc>
        <w:tc>
          <w:tcPr>
            <w:tcW w:w="2376" w:type="dxa"/>
            <w:vAlign w:val="center"/>
          </w:tcPr>
          <w:p>
            <w:pPr>
              <w:pStyle w:val="10"/>
              <w:spacing w:before="178" w:line="268" w:lineRule="auto"/>
              <w:ind w:left="16" w:right="-15"/>
              <w:jc w:val="both"/>
              <w:rPr>
                <w:sz w:val="21"/>
              </w:rPr>
            </w:pPr>
            <w:r>
              <w:rPr>
                <w:sz w:val="21"/>
              </w:rPr>
              <w:t>对生猪定点屠宰厂（场） 运载生猪产品不符合《山东省生猪屠宰管理办法》规定的处罚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spacing w:before="1"/>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before="180"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645" w:type="dxa"/>
            <w:vAlign w:val="center"/>
          </w:tcPr>
          <w:p>
            <w:pPr>
              <w:pStyle w:val="10"/>
              <w:ind w:left="196" w:right="180"/>
              <w:jc w:val="center"/>
              <w:rPr>
                <w:sz w:val="21"/>
              </w:rPr>
            </w:pPr>
            <w:r>
              <w:rPr>
                <w:sz w:val="21"/>
              </w:rPr>
              <w:t>15</w:t>
            </w:r>
          </w:p>
        </w:tc>
        <w:tc>
          <w:tcPr>
            <w:tcW w:w="1336" w:type="dxa"/>
            <w:vAlign w:val="center"/>
          </w:tcPr>
          <w:p>
            <w:pPr>
              <w:pStyle w:val="10"/>
              <w:spacing w:before="178" w:line="268" w:lineRule="auto"/>
              <w:ind w:left="16" w:right="-15"/>
              <w:jc w:val="center"/>
              <w:rPr>
                <w:sz w:val="21"/>
              </w:rPr>
            </w:pPr>
            <w:r>
              <w:rPr>
                <w:rFonts w:hint="eastAsia"/>
                <w:sz w:val="21"/>
              </w:rPr>
              <w:t>区农业农村局</w:t>
            </w:r>
          </w:p>
        </w:tc>
        <w:tc>
          <w:tcPr>
            <w:tcW w:w="2376" w:type="dxa"/>
            <w:vAlign w:val="center"/>
          </w:tcPr>
          <w:p>
            <w:pPr>
              <w:pStyle w:val="10"/>
              <w:spacing w:before="178" w:line="268" w:lineRule="auto"/>
              <w:ind w:left="16" w:right="-15"/>
              <w:jc w:val="both"/>
              <w:rPr>
                <w:sz w:val="21"/>
              </w:rPr>
            </w:pPr>
            <w:r>
              <w:rPr>
                <w:sz w:val="21"/>
              </w:rPr>
              <w:t>对生猪定点屠宰厂（场） 或者小型生猪屠宰场点拒绝为生猪饲养户提供屠宰服务的处罚</w:t>
            </w:r>
          </w:p>
        </w:tc>
        <w:tc>
          <w:tcPr>
            <w:tcW w:w="892" w:type="dxa"/>
            <w:vAlign w:val="center"/>
          </w:tcPr>
          <w:p>
            <w:pPr>
              <w:pStyle w:val="10"/>
              <w:spacing w:before="166"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hanging="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45" w:type="dxa"/>
            <w:vAlign w:val="center"/>
          </w:tcPr>
          <w:p>
            <w:pPr>
              <w:pStyle w:val="10"/>
              <w:spacing w:before="1"/>
              <w:ind w:left="196" w:right="180"/>
              <w:jc w:val="center"/>
              <w:rPr>
                <w:sz w:val="21"/>
              </w:rPr>
            </w:pPr>
            <w:r>
              <w:rPr>
                <w:sz w:val="21"/>
              </w:rPr>
              <w:t>16</w:t>
            </w:r>
          </w:p>
        </w:tc>
        <w:tc>
          <w:tcPr>
            <w:tcW w:w="1336" w:type="dxa"/>
            <w:vAlign w:val="center"/>
          </w:tcPr>
          <w:p>
            <w:pPr>
              <w:pStyle w:val="10"/>
              <w:spacing w:before="178" w:line="268" w:lineRule="auto"/>
              <w:ind w:left="16" w:right="-15"/>
              <w:jc w:val="center"/>
              <w:rPr>
                <w:sz w:val="21"/>
              </w:rPr>
            </w:pPr>
            <w:r>
              <w:rPr>
                <w:rFonts w:hint="eastAsia"/>
                <w:sz w:val="21"/>
              </w:rPr>
              <w:t>区农业农村局</w:t>
            </w:r>
          </w:p>
        </w:tc>
        <w:tc>
          <w:tcPr>
            <w:tcW w:w="2376" w:type="dxa"/>
            <w:vAlign w:val="center"/>
          </w:tcPr>
          <w:p>
            <w:pPr>
              <w:pStyle w:val="10"/>
              <w:spacing w:before="178" w:line="268" w:lineRule="auto"/>
              <w:ind w:left="16" w:right="-15"/>
              <w:jc w:val="both"/>
              <w:rPr>
                <w:sz w:val="21"/>
              </w:rPr>
            </w:pPr>
            <w:r>
              <w:rPr>
                <w:sz w:val="21"/>
              </w:rPr>
              <w:t>对生猪定点屠宰厂（场） 未按规定建立质量追溯制度的处罚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spacing w:before="1"/>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45" w:type="dxa"/>
          </w:tcPr>
          <w:p>
            <w:pPr>
              <w:pStyle w:val="10"/>
              <w:spacing w:before="89" w:line="201" w:lineRule="auto"/>
              <w:ind w:left="182" w:right="162"/>
              <w:jc w:val="center"/>
              <w:rPr>
                <w:rFonts w:ascii="黑体" w:eastAsia="黑体"/>
                <w:sz w:val="28"/>
              </w:rPr>
            </w:pPr>
            <w:r>
              <w:rPr>
                <w:rFonts w:hint="eastAsia" w:ascii="黑体" w:eastAsia="黑体"/>
                <w:sz w:val="28"/>
              </w:rPr>
              <w:t>序号</w:t>
            </w:r>
          </w:p>
        </w:tc>
        <w:tc>
          <w:tcPr>
            <w:tcW w:w="1336" w:type="dxa"/>
          </w:tcPr>
          <w:p>
            <w:pPr>
              <w:pStyle w:val="10"/>
              <w:spacing w:before="194"/>
              <w:ind w:left="120"/>
              <w:jc w:val="center"/>
              <w:rPr>
                <w:rFonts w:ascii="黑体" w:eastAsia="黑体"/>
                <w:sz w:val="28"/>
              </w:rPr>
            </w:pPr>
            <w:r>
              <w:rPr>
                <w:rFonts w:hint="eastAsia" w:ascii="黑体" w:eastAsia="黑体"/>
                <w:sz w:val="28"/>
              </w:rPr>
              <w:t>实施部门</w:t>
            </w:r>
          </w:p>
        </w:tc>
        <w:tc>
          <w:tcPr>
            <w:tcW w:w="2376" w:type="dxa"/>
          </w:tcPr>
          <w:p>
            <w:pPr>
              <w:pStyle w:val="10"/>
              <w:spacing w:before="194"/>
              <w:ind w:left="221"/>
              <w:jc w:val="center"/>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jc w:val="center"/>
              <w:rPr>
                <w:rFonts w:ascii="黑体" w:eastAsia="黑体"/>
                <w:sz w:val="28"/>
              </w:rPr>
            </w:pPr>
            <w:r>
              <w:rPr>
                <w:rFonts w:hint="eastAsia" w:ascii="黑体" w:eastAsia="黑体"/>
                <w:sz w:val="28"/>
              </w:rPr>
              <w:t>事项类别</w:t>
            </w:r>
          </w:p>
        </w:tc>
        <w:tc>
          <w:tcPr>
            <w:tcW w:w="2277" w:type="dxa"/>
          </w:tcPr>
          <w:p>
            <w:pPr>
              <w:pStyle w:val="10"/>
              <w:spacing w:before="194"/>
              <w:ind w:left="115" w:right="88"/>
              <w:jc w:val="center"/>
              <w:rPr>
                <w:rFonts w:ascii="黑体" w:eastAsia="黑体"/>
                <w:sz w:val="28"/>
              </w:rPr>
            </w:pPr>
            <w:r>
              <w:rPr>
                <w:rFonts w:hint="eastAsia" w:ascii="黑体" w:eastAsia="黑体"/>
                <w:sz w:val="28"/>
              </w:rPr>
              <w:t>调整意见</w:t>
            </w:r>
          </w:p>
        </w:tc>
        <w:tc>
          <w:tcPr>
            <w:tcW w:w="5027" w:type="dxa"/>
          </w:tcPr>
          <w:p>
            <w:pPr>
              <w:pStyle w:val="10"/>
              <w:spacing w:before="194"/>
              <w:ind w:left="1124"/>
              <w:jc w:val="center"/>
              <w:rPr>
                <w:rFonts w:ascii="黑体" w:eastAsia="黑体"/>
                <w:sz w:val="28"/>
              </w:rPr>
            </w:pPr>
            <w:r>
              <w:rPr>
                <w:rFonts w:hint="eastAsia" w:ascii="黑体" w:eastAsia="黑体"/>
                <w:sz w:val="28"/>
              </w:rPr>
              <w:t>加强事中事后监管措施</w:t>
            </w:r>
          </w:p>
        </w:tc>
        <w:tc>
          <w:tcPr>
            <w:tcW w:w="1230" w:type="dxa"/>
          </w:tcPr>
          <w:p>
            <w:pPr>
              <w:pStyle w:val="10"/>
              <w:spacing w:before="194"/>
              <w:ind w:left="344"/>
              <w:jc w:val="center"/>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6" w:hRule="atLeast"/>
        </w:trPr>
        <w:tc>
          <w:tcPr>
            <w:tcW w:w="645" w:type="dxa"/>
            <w:vAlign w:val="center"/>
          </w:tcPr>
          <w:p>
            <w:pPr>
              <w:pStyle w:val="10"/>
              <w:spacing w:before="160"/>
              <w:ind w:left="196" w:right="180"/>
              <w:jc w:val="center"/>
              <w:rPr>
                <w:sz w:val="21"/>
              </w:rPr>
            </w:pPr>
            <w:r>
              <w:rPr>
                <w:rFonts w:hint="eastAsia"/>
                <w:sz w:val="21"/>
              </w:rPr>
              <w:t>17</w:t>
            </w:r>
          </w:p>
        </w:tc>
        <w:tc>
          <w:tcPr>
            <w:tcW w:w="1336" w:type="dxa"/>
            <w:vAlign w:val="center"/>
          </w:tcPr>
          <w:p>
            <w:pPr>
              <w:pStyle w:val="10"/>
              <w:spacing w:before="178" w:line="268" w:lineRule="auto"/>
              <w:ind w:left="16" w:right="-15"/>
              <w:jc w:val="center"/>
              <w:rPr>
                <w:sz w:val="21"/>
              </w:rPr>
            </w:pPr>
            <w:r>
              <w:rPr>
                <w:rFonts w:hint="eastAsia"/>
                <w:sz w:val="21"/>
              </w:rPr>
              <w:t>区卫生健康局</w:t>
            </w:r>
          </w:p>
        </w:tc>
        <w:tc>
          <w:tcPr>
            <w:tcW w:w="2376" w:type="dxa"/>
            <w:vAlign w:val="center"/>
          </w:tcPr>
          <w:p>
            <w:pPr>
              <w:pStyle w:val="10"/>
              <w:spacing w:line="268" w:lineRule="auto"/>
              <w:ind w:left="570" w:right="118" w:hanging="420"/>
              <w:jc w:val="both"/>
              <w:rPr>
                <w:sz w:val="21"/>
              </w:rPr>
            </w:pPr>
            <w:r>
              <w:rPr>
                <w:sz w:val="21"/>
              </w:rPr>
              <w:t>职业卫生技术服务机构丙级资质认可</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before="178" w:line="268" w:lineRule="auto"/>
              <w:ind w:left="16" w:right="-15"/>
              <w:jc w:val="both"/>
              <w:rPr>
                <w:sz w:val="21"/>
              </w:rPr>
            </w:pPr>
            <w:r>
              <w:rPr>
                <w:rFonts w:hint="eastAsia"/>
                <w:sz w:val="21"/>
              </w:rPr>
              <w:t>衔接取消市审批服务局实施的行政许可事项“职业卫生技术服务机构丙级资质认可”，对应</w:t>
            </w:r>
            <w:r>
              <w:rPr>
                <w:sz w:val="21"/>
              </w:rPr>
              <w:t>取消服务窗口前移</w:t>
            </w:r>
            <w:r>
              <w:rPr>
                <w:rFonts w:hint="eastAsia"/>
                <w:sz w:val="21"/>
              </w:rPr>
              <w:t>形式调整</w:t>
            </w:r>
            <w:r>
              <w:rPr>
                <w:sz w:val="21"/>
              </w:rPr>
              <w:t>至</w:t>
            </w:r>
            <w:r>
              <w:rPr>
                <w:rFonts w:hint="eastAsia"/>
                <w:sz w:val="21"/>
              </w:rPr>
              <w:t>我区实施</w:t>
            </w:r>
            <w:r>
              <w:rPr>
                <w:sz w:val="21"/>
              </w:rPr>
              <w:t>的事项权限。</w:t>
            </w:r>
          </w:p>
        </w:tc>
        <w:tc>
          <w:tcPr>
            <w:tcW w:w="5027" w:type="dxa"/>
            <w:vAlign w:val="center"/>
          </w:tcPr>
          <w:p>
            <w:pPr>
              <w:pStyle w:val="10"/>
              <w:spacing w:before="29" w:line="268" w:lineRule="auto"/>
              <w:ind w:left="119" w:right="41"/>
              <w:rPr>
                <w:sz w:val="21"/>
              </w:rPr>
            </w:pPr>
            <w:r>
              <w:rPr>
                <w:sz w:val="21"/>
              </w:rPr>
              <w:t>取消许可后，卫生健康部门要通过以下措施加强监管：</w:t>
            </w:r>
          </w:p>
          <w:p>
            <w:pPr>
              <w:pStyle w:val="10"/>
              <w:spacing w:before="29" w:line="268" w:lineRule="auto"/>
              <w:ind w:left="119" w:right="41"/>
              <w:rPr>
                <w:sz w:val="21"/>
              </w:rPr>
            </w:pPr>
            <w:r>
              <w:rPr>
                <w:rFonts w:hint="eastAsia"/>
                <w:sz w:val="21"/>
              </w:rPr>
              <w:t>1、</w:t>
            </w:r>
            <w:r>
              <w:rPr>
                <w:sz w:val="21"/>
              </w:rPr>
              <w:t>适当降低职业卫生技术服务机构乙级资质条件要求，完善职业卫生技术服务标准。引导现有职业卫生技术服务丙级机构换领新的乙级资质证书，拓宽业务范围和业务地域范围。</w:t>
            </w:r>
          </w:p>
          <w:p>
            <w:pPr>
              <w:pStyle w:val="10"/>
              <w:spacing w:before="29" w:line="268" w:lineRule="auto"/>
              <w:ind w:left="119" w:right="41"/>
              <w:rPr>
                <w:sz w:val="21"/>
              </w:rPr>
            </w:pPr>
            <w:r>
              <w:rPr>
                <w:rFonts w:hint="eastAsia"/>
                <w:sz w:val="21"/>
              </w:rPr>
              <w:t>2、</w:t>
            </w:r>
            <w:r>
              <w:rPr>
                <w:sz w:val="21"/>
              </w:rPr>
              <w:t>开展“双随机、一公开”监管，畅通投诉举报渠道， 发现违法违规行为要依法查处并向社会公开结果。</w:t>
            </w:r>
          </w:p>
          <w:p>
            <w:pPr>
              <w:pStyle w:val="10"/>
              <w:spacing w:before="29" w:line="268" w:lineRule="auto"/>
              <w:ind w:left="119" w:right="41"/>
              <w:rPr>
                <w:sz w:val="21"/>
              </w:rPr>
            </w:pPr>
            <w:r>
              <w:rPr>
                <w:rFonts w:hint="eastAsia"/>
                <w:sz w:val="21"/>
              </w:rPr>
              <w:t>3、</w:t>
            </w:r>
            <w:r>
              <w:rPr>
                <w:sz w:val="21"/>
              </w:rPr>
              <w:t>对存在职业病危害因素的企业，依法开展职业病危害因素监督检查。发现职业卫生技术服务机构出具虚假报告的，依法追究法律责任。</w:t>
            </w:r>
          </w:p>
          <w:p>
            <w:pPr>
              <w:pStyle w:val="10"/>
              <w:spacing w:before="29" w:line="268" w:lineRule="auto"/>
              <w:ind w:left="119" w:right="41"/>
              <w:rPr>
                <w:sz w:val="21"/>
              </w:rPr>
            </w:pPr>
            <w:r>
              <w:rPr>
                <w:rFonts w:hint="eastAsia"/>
                <w:sz w:val="21"/>
              </w:rPr>
              <w:t>4、</w:t>
            </w:r>
            <w:r>
              <w:rPr>
                <w:sz w:val="21"/>
              </w:rPr>
              <w:t>依法实施信用监管，如实记录违法失信行为，实施差异化监管等措施。</w:t>
            </w:r>
          </w:p>
        </w:tc>
        <w:tc>
          <w:tcPr>
            <w:tcW w:w="1230" w:type="dxa"/>
            <w:vAlign w:val="center"/>
          </w:tcPr>
          <w:p>
            <w:pPr>
              <w:pStyle w:val="10"/>
              <w:spacing w:before="31"/>
              <w:ind w:left="118"/>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1" w:hRule="atLeast"/>
        </w:trPr>
        <w:tc>
          <w:tcPr>
            <w:tcW w:w="645" w:type="dxa"/>
            <w:vAlign w:val="center"/>
          </w:tcPr>
          <w:p>
            <w:pPr>
              <w:pStyle w:val="10"/>
              <w:ind w:left="196" w:right="180"/>
              <w:jc w:val="center"/>
              <w:rPr>
                <w:sz w:val="21"/>
              </w:rPr>
            </w:pPr>
            <w:r>
              <w:rPr>
                <w:rFonts w:hint="eastAsia"/>
                <w:sz w:val="21"/>
              </w:rPr>
              <w:t>18</w:t>
            </w:r>
          </w:p>
        </w:tc>
        <w:tc>
          <w:tcPr>
            <w:tcW w:w="1336" w:type="dxa"/>
            <w:vAlign w:val="center"/>
          </w:tcPr>
          <w:p>
            <w:pPr>
              <w:pStyle w:val="10"/>
              <w:spacing w:before="178" w:line="268" w:lineRule="auto"/>
              <w:ind w:left="16" w:right="-15"/>
              <w:jc w:val="center"/>
              <w:rPr>
                <w:sz w:val="21"/>
              </w:rPr>
            </w:pPr>
            <w:r>
              <w:rPr>
                <w:rFonts w:hint="eastAsia"/>
                <w:sz w:val="21"/>
              </w:rPr>
              <w:t>区行政审批服务局</w:t>
            </w:r>
          </w:p>
        </w:tc>
        <w:tc>
          <w:tcPr>
            <w:tcW w:w="2376" w:type="dxa"/>
            <w:vAlign w:val="center"/>
          </w:tcPr>
          <w:p>
            <w:pPr>
              <w:pStyle w:val="10"/>
              <w:ind w:left="77" w:right="48"/>
              <w:jc w:val="both"/>
              <w:rPr>
                <w:sz w:val="21"/>
              </w:rPr>
            </w:pPr>
            <w:r>
              <w:rPr>
                <w:sz w:val="21"/>
              </w:rPr>
              <w:t>污水处理企业经营许可</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spacing w:line="268" w:lineRule="auto"/>
              <w:ind w:left="119" w:right="280"/>
              <w:rPr>
                <w:sz w:val="21"/>
              </w:rPr>
            </w:pPr>
            <w:r>
              <w:rPr>
                <w:sz w:val="21"/>
              </w:rPr>
              <w:t>取消许可后，城乡水务部门要通过以下措施加强监管：</w:t>
            </w:r>
          </w:p>
          <w:p>
            <w:pPr>
              <w:pStyle w:val="10"/>
              <w:spacing w:line="268" w:lineRule="auto"/>
              <w:ind w:left="119" w:right="280"/>
              <w:rPr>
                <w:sz w:val="21"/>
              </w:rPr>
            </w:pPr>
            <w:r>
              <w:rPr>
                <w:rFonts w:hint="eastAsia"/>
                <w:sz w:val="21"/>
              </w:rPr>
              <w:t>1、</w:t>
            </w:r>
            <w:r>
              <w:rPr>
                <w:sz w:val="21"/>
              </w:rPr>
              <w:t>纳入日常行业监管。</w:t>
            </w:r>
          </w:p>
          <w:p>
            <w:pPr>
              <w:pStyle w:val="10"/>
              <w:tabs>
                <w:tab w:val="left" w:pos="331"/>
              </w:tabs>
              <w:spacing w:before="31" w:line="268" w:lineRule="auto"/>
              <w:ind w:left="119" w:right="-15"/>
              <w:rPr>
                <w:sz w:val="21"/>
              </w:rPr>
            </w:pPr>
            <w:r>
              <w:rPr>
                <w:rFonts w:hint="eastAsia"/>
                <w:spacing w:val="-13"/>
                <w:sz w:val="21"/>
              </w:rPr>
              <w:t>2、</w:t>
            </w:r>
            <w:r>
              <w:rPr>
                <w:spacing w:val="-13"/>
                <w:sz w:val="21"/>
              </w:rPr>
              <w:t xml:space="preserve">开展“双随机、一公开”监管，畅通投诉举报渠道， </w:t>
            </w:r>
            <w:r>
              <w:rPr>
                <w:sz w:val="21"/>
              </w:rPr>
              <w:t xml:space="preserve">发现违法违规行为要依法查处并向社会公开结果。 </w:t>
            </w:r>
            <w:r>
              <w:rPr>
                <w:rFonts w:hint="eastAsia"/>
                <w:sz w:val="21"/>
              </w:rPr>
              <w:t>3、</w:t>
            </w:r>
            <w:r>
              <w:rPr>
                <w:spacing w:val="-3"/>
                <w:sz w:val="21"/>
              </w:rPr>
              <w:t>依法实施信用监管，如实记录违法失信行为，实施差异化监管等措施。</w:t>
            </w:r>
          </w:p>
        </w:tc>
        <w:tc>
          <w:tcPr>
            <w:tcW w:w="1230" w:type="dxa"/>
            <w:vAlign w:val="center"/>
          </w:tcPr>
          <w:p>
            <w:pPr>
              <w:pStyle w:val="10"/>
              <w:spacing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9" w:hRule="atLeast"/>
        </w:trPr>
        <w:tc>
          <w:tcPr>
            <w:tcW w:w="645" w:type="dxa"/>
            <w:vAlign w:val="center"/>
          </w:tcPr>
          <w:p>
            <w:pPr>
              <w:pStyle w:val="10"/>
              <w:ind w:left="196" w:right="180"/>
              <w:jc w:val="center"/>
              <w:rPr>
                <w:sz w:val="21"/>
              </w:rPr>
            </w:pPr>
            <w:r>
              <w:rPr>
                <w:rFonts w:hint="eastAsia"/>
                <w:sz w:val="21"/>
              </w:rPr>
              <w:t>19</w:t>
            </w:r>
          </w:p>
        </w:tc>
        <w:tc>
          <w:tcPr>
            <w:tcW w:w="1336" w:type="dxa"/>
            <w:vAlign w:val="center"/>
          </w:tcPr>
          <w:p>
            <w:pPr>
              <w:pStyle w:val="10"/>
              <w:spacing w:before="178" w:line="268" w:lineRule="auto"/>
              <w:ind w:left="16" w:right="-15"/>
              <w:jc w:val="center"/>
              <w:rPr>
                <w:sz w:val="21"/>
              </w:rPr>
            </w:pPr>
            <w:r>
              <w:rPr>
                <w:rFonts w:hint="eastAsia"/>
                <w:sz w:val="21"/>
              </w:rPr>
              <w:t>区行政审批服务局</w:t>
            </w:r>
          </w:p>
        </w:tc>
        <w:tc>
          <w:tcPr>
            <w:tcW w:w="2376" w:type="dxa"/>
            <w:vAlign w:val="center"/>
          </w:tcPr>
          <w:p>
            <w:pPr>
              <w:pStyle w:val="10"/>
              <w:spacing w:line="300" w:lineRule="exact"/>
              <w:ind w:left="150" w:right="118"/>
              <w:jc w:val="both"/>
              <w:rPr>
                <w:sz w:val="21"/>
              </w:rPr>
            </w:pPr>
            <w:r>
              <w:rPr>
                <w:sz w:val="21"/>
              </w:rPr>
              <w:t>单池容积五百立方米以上的农村可再生能源沼气工程及日供气量五百立方米以上的农村可再生能源秸秆气化工程设计方案核准</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spacing w:line="268" w:lineRule="auto"/>
              <w:ind w:left="119" w:right="70"/>
              <w:rPr>
                <w:sz w:val="21"/>
              </w:rPr>
            </w:pPr>
            <w:r>
              <w:rPr>
                <w:sz w:val="21"/>
              </w:rPr>
              <w:t xml:space="preserve">取消许可后，农业农村部门要通过以下措施加强监 </w:t>
            </w:r>
            <w:r>
              <w:rPr>
                <w:spacing w:val="-1"/>
                <w:sz w:val="21"/>
              </w:rPr>
              <w:t xml:space="preserve">管：加强对农村可再生能源工程的技术服务和指导， </w:t>
            </w:r>
            <w:r>
              <w:rPr>
                <w:sz w:val="21"/>
              </w:rPr>
              <w:t>定期对当地农村沼气工程的安全运行和使用情况进 行检查。</w:t>
            </w:r>
          </w:p>
        </w:tc>
        <w:tc>
          <w:tcPr>
            <w:tcW w:w="1230" w:type="dxa"/>
            <w:vAlign w:val="center"/>
          </w:tcPr>
          <w:p>
            <w:pPr>
              <w:pStyle w:val="10"/>
              <w:spacing w:before="1" w:line="268" w:lineRule="auto"/>
              <w:ind w:left="118" w:right="39" w:hanging="39"/>
              <w:jc w:val="center"/>
              <w:rPr>
                <w:sz w:val="21"/>
                <w:lang w:val="en-US"/>
              </w:rPr>
            </w:pPr>
          </w:p>
        </w:tc>
      </w:tr>
    </w:tbl>
    <w:p>
      <w:pPr>
        <w:jc w:val="center"/>
        <w:rPr>
          <w:sz w:val="20"/>
        </w:rPr>
      </w:pPr>
    </w:p>
    <w:tbl>
      <w:tblPr>
        <w:tblStyle w:val="6"/>
        <w:tblW w:w="13914"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
        <w:gridCol w:w="769"/>
        <w:gridCol w:w="1336"/>
        <w:gridCol w:w="2376"/>
        <w:gridCol w:w="892"/>
        <w:gridCol w:w="2277"/>
        <w:gridCol w:w="502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610" w:hRule="atLeast"/>
        </w:trPr>
        <w:tc>
          <w:tcPr>
            <w:tcW w:w="769" w:type="dxa"/>
          </w:tcPr>
          <w:p>
            <w:pPr>
              <w:pStyle w:val="10"/>
              <w:spacing w:before="4" w:line="300" w:lineRule="exact"/>
              <w:ind w:left="175" w:right="162"/>
              <w:jc w:val="center"/>
              <w:rPr>
                <w:rFonts w:ascii="黑体" w:eastAsia="黑体"/>
                <w:sz w:val="28"/>
              </w:rPr>
            </w:pPr>
            <w:r>
              <w:rPr>
                <w:rFonts w:hint="eastAsia" w:ascii="黑体" w:eastAsia="黑体"/>
                <w:sz w:val="28"/>
              </w:rPr>
              <w:t>序号</w:t>
            </w:r>
          </w:p>
        </w:tc>
        <w:tc>
          <w:tcPr>
            <w:tcW w:w="1336" w:type="dxa"/>
          </w:tcPr>
          <w:p>
            <w:pPr>
              <w:pStyle w:val="10"/>
              <w:spacing w:before="115"/>
              <w:ind w:left="120"/>
              <w:jc w:val="center"/>
              <w:rPr>
                <w:rFonts w:ascii="黑体" w:eastAsia="黑体"/>
                <w:sz w:val="28"/>
              </w:rPr>
            </w:pPr>
            <w:r>
              <w:rPr>
                <w:rFonts w:hint="eastAsia" w:ascii="黑体" w:eastAsia="黑体"/>
                <w:sz w:val="28"/>
              </w:rPr>
              <w:t>实施部门</w:t>
            </w:r>
          </w:p>
        </w:tc>
        <w:tc>
          <w:tcPr>
            <w:tcW w:w="2376" w:type="dxa"/>
          </w:tcPr>
          <w:p>
            <w:pPr>
              <w:pStyle w:val="10"/>
              <w:spacing w:before="115"/>
              <w:ind w:left="221"/>
              <w:jc w:val="center"/>
              <w:rPr>
                <w:rFonts w:ascii="黑体" w:eastAsia="黑体"/>
                <w:sz w:val="28"/>
              </w:rPr>
            </w:pPr>
            <w:r>
              <w:rPr>
                <w:rFonts w:hint="eastAsia" w:ascii="黑体" w:eastAsia="黑体"/>
                <w:sz w:val="28"/>
              </w:rPr>
              <w:t>事项名称及权限</w:t>
            </w:r>
          </w:p>
        </w:tc>
        <w:tc>
          <w:tcPr>
            <w:tcW w:w="892" w:type="dxa"/>
          </w:tcPr>
          <w:p>
            <w:pPr>
              <w:pStyle w:val="10"/>
              <w:spacing w:before="4" w:line="300" w:lineRule="exact"/>
              <w:ind w:left="177" w:right="148"/>
              <w:jc w:val="center"/>
              <w:rPr>
                <w:rFonts w:ascii="黑体" w:eastAsia="黑体"/>
                <w:sz w:val="28"/>
              </w:rPr>
            </w:pPr>
            <w:r>
              <w:rPr>
                <w:rFonts w:hint="eastAsia" w:ascii="黑体" w:eastAsia="黑体"/>
                <w:sz w:val="28"/>
              </w:rPr>
              <w:t>事项类别</w:t>
            </w:r>
          </w:p>
        </w:tc>
        <w:tc>
          <w:tcPr>
            <w:tcW w:w="2277" w:type="dxa"/>
          </w:tcPr>
          <w:p>
            <w:pPr>
              <w:pStyle w:val="10"/>
              <w:spacing w:before="115"/>
              <w:ind w:left="590"/>
              <w:jc w:val="center"/>
              <w:rPr>
                <w:rFonts w:ascii="黑体" w:eastAsia="黑体"/>
                <w:sz w:val="28"/>
              </w:rPr>
            </w:pPr>
            <w:r>
              <w:rPr>
                <w:rFonts w:hint="eastAsia" w:ascii="黑体" w:eastAsia="黑体"/>
                <w:sz w:val="28"/>
              </w:rPr>
              <w:t>调整意见</w:t>
            </w:r>
          </w:p>
        </w:tc>
        <w:tc>
          <w:tcPr>
            <w:tcW w:w="5027" w:type="dxa"/>
          </w:tcPr>
          <w:p>
            <w:pPr>
              <w:pStyle w:val="10"/>
              <w:spacing w:before="115"/>
              <w:ind w:left="1124"/>
              <w:jc w:val="center"/>
              <w:rPr>
                <w:rFonts w:ascii="黑体" w:eastAsia="黑体"/>
                <w:sz w:val="28"/>
              </w:rPr>
            </w:pPr>
            <w:r>
              <w:rPr>
                <w:rFonts w:hint="eastAsia" w:ascii="黑体" w:eastAsia="黑体"/>
                <w:sz w:val="28"/>
              </w:rPr>
              <w:t>加强事中事后监管措施</w:t>
            </w:r>
          </w:p>
        </w:tc>
        <w:tc>
          <w:tcPr>
            <w:tcW w:w="1230" w:type="dxa"/>
          </w:tcPr>
          <w:p>
            <w:pPr>
              <w:pStyle w:val="10"/>
              <w:spacing w:before="115"/>
              <w:ind w:left="344"/>
              <w:jc w:val="center"/>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4575" w:hRule="atLeast"/>
        </w:trPr>
        <w:tc>
          <w:tcPr>
            <w:tcW w:w="769" w:type="dxa"/>
            <w:vAlign w:val="center"/>
          </w:tcPr>
          <w:p>
            <w:pPr>
              <w:pStyle w:val="10"/>
              <w:ind w:left="209"/>
              <w:jc w:val="center"/>
              <w:rPr>
                <w:sz w:val="21"/>
              </w:rPr>
            </w:pPr>
            <w:r>
              <w:rPr>
                <w:rFonts w:hint="eastAsia"/>
                <w:sz w:val="21"/>
              </w:rPr>
              <w:t>20</w:t>
            </w:r>
          </w:p>
        </w:tc>
        <w:tc>
          <w:tcPr>
            <w:tcW w:w="1336" w:type="dxa"/>
            <w:vAlign w:val="center"/>
          </w:tcPr>
          <w:p>
            <w:pPr>
              <w:pStyle w:val="10"/>
              <w:spacing w:before="178" w:line="268" w:lineRule="auto"/>
              <w:ind w:left="16" w:right="-15"/>
              <w:jc w:val="center"/>
              <w:rPr>
                <w:sz w:val="21"/>
              </w:rPr>
            </w:pPr>
            <w:r>
              <w:rPr>
                <w:rFonts w:hint="eastAsia"/>
                <w:sz w:val="21"/>
              </w:rPr>
              <w:t>区行政审批服务局</w:t>
            </w:r>
          </w:p>
        </w:tc>
        <w:tc>
          <w:tcPr>
            <w:tcW w:w="2376" w:type="dxa"/>
            <w:vAlign w:val="center"/>
          </w:tcPr>
          <w:p>
            <w:pPr>
              <w:pStyle w:val="10"/>
              <w:spacing w:before="178" w:line="268" w:lineRule="auto"/>
              <w:ind w:left="16" w:right="-15"/>
              <w:jc w:val="both"/>
              <w:rPr>
                <w:sz w:val="21"/>
              </w:rPr>
            </w:pPr>
            <w:r>
              <w:rPr>
                <w:sz w:val="21"/>
              </w:rPr>
              <w:t>医疗机构设置审批及执业登记和校验——部分医疗机构（除三级医院、三级妇幼保健院、急救中心、急救站、临床检验中心、中外合资合作医疗机构、港澳台独资医疗机构外）设置审批</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178" w:line="240" w:lineRule="exact"/>
              <w:ind w:left="17" w:right="-17"/>
              <w:jc w:val="both"/>
              <w:textAlignment w:val="auto"/>
              <w:rPr>
                <w:sz w:val="21"/>
              </w:rPr>
            </w:pPr>
            <w:r>
              <w:rPr>
                <w:sz w:val="21"/>
              </w:rPr>
              <w:t>衔接取消县级</w:t>
            </w:r>
            <w:r>
              <w:rPr>
                <w:rFonts w:hint="eastAsia"/>
                <w:sz w:val="21"/>
              </w:rPr>
              <w:t>以上</w:t>
            </w:r>
            <w:r>
              <w:rPr>
                <w:sz w:val="21"/>
              </w:rPr>
              <w:t>地方卫生健康部门实施 的“部分医疗机构（除三级医院、三级妇幼保健院、急救中心、急救站、临床检验中心、中外合资合作医疗机构、港澳台独资医疗机构 外）《设置医疗机构批准书》核发，相应取消“医疗机构设置审批 及执业登记和校验—— 部分医疗机构（除三级医院、三级妇幼保健院、急救中心、急救站、临床检验中心、中外合资合作医疗机构、港澳台独资医疗机构外）设置审批”。</w:t>
            </w:r>
          </w:p>
        </w:tc>
        <w:tc>
          <w:tcPr>
            <w:tcW w:w="5027" w:type="dxa"/>
            <w:vAlign w:val="center"/>
          </w:tcPr>
          <w:p>
            <w:pPr>
              <w:pStyle w:val="10"/>
              <w:spacing w:line="268" w:lineRule="auto"/>
              <w:ind w:right="41"/>
              <w:jc w:val="both"/>
              <w:rPr>
                <w:sz w:val="21"/>
              </w:rPr>
            </w:pPr>
            <w:r>
              <w:rPr>
                <w:sz w:val="21"/>
              </w:rPr>
              <w:t>取消许可后，卫生健康、审批服务部门要通过以下措施加强监管：</w:t>
            </w:r>
          </w:p>
          <w:p>
            <w:pPr>
              <w:pStyle w:val="10"/>
              <w:tabs>
                <w:tab w:val="left" w:pos="334"/>
              </w:tabs>
              <w:spacing w:line="268" w:lineRule="auto"/>
              <w:ind w:right="79"/>
              <w:jc w:val="both"/>
              <w:rPr>
                <w:sz w:val="21"/>
              </w:rPr>
            </w:pPr>
            <w:r>
              <w:rPr>
                <w:rFonts w:hint="eastAsia"/>
                <w:spacing w:val="3"/>
                <w:sz w:val="21"/>
              </w:rPr>
              <w:t>1、</w:t>
            </w:r>
            <w:r>
              <w:rPr>
                <w:spacing w:val="3"/>
                <w:sz w:val="21"/>
              </w:rPr>
              <w:t>完善医疗机构设置规划方式,对社会办医疗机构实</w:t>
            </w:r>
            <w:r>
              <w:rPr>
                <w:spacing w:val="8"/>
                <w:sz w:val="21"/>
              </w:rPr>
              <w:t>行指导性规划。加强对社会资本投资医疗机构的服</w:t>
            </w:r>
            <w:r>
              <w:rPr>
                <w:sz w:val="21"/>
              </w:rPr>
              <w:t>务，同时注意防止以服务之名行审批之实。</w:t>
            </w:r>
          </w:p>
          <w:p>
            <w:pPr>
              <w:pStyle w:val="10"/>
              <w:tabs>
                <w:tab w:val="left" w:pos="334"/>
              </w:tabs>
              <w:spacing w:line="268" w:lineRule="auto"/>
              <w:ind w:right="87"/>
              <w:jc w:val="both"/>
              <w:rPr>
                <w:sz w:val="21"/>
              </w:rPr>
            </w:pPr>
            <w:r>
              <w:rPr>
                <w:rFonts w:hint="eastAsia"/>
                <w:spacing w:val="-5"/>
                <w:sz w:val="21"/>
              </w:rPr>
              <w:t>2、</w:t>
            </w:r>
            <w:r>
              <w:rPr>
                <w:spacing w:val="-5"/>
                <w:sz w:val="21"/>
              </w:rPr>
              <w:t>严格实施“医疗机构执业登记”，并将审批结果向</w:t>
            </w:r>
            <w:r>
              <w:rPr>
                <w:sz w:val="21"/>
              </w:rPr>
              <w:t>社会公开。</w:t>
            </w:r>
          </w:p>
          <w:p>
            <w:pPr>
              <w:pStyle w:val="10"/>
              <w:tabs>
                <w:tab w:val="left" w:pos="331"/>
              </w:tabs>
              <w:spacing w:line="268" w:lineRule="auto"/>
              <w:ind w:right="89"/>
              <w:jc w:val="both"/>
              <w:rPr>
                <w:sz w:val="21"/>
              </w:rPr>
            </w:pPr>
            <w:r>
              <w:rPr>
                <w:rFonts w:hint="eastAsia"/>
                <w:spacing w:val="-5"/>
                <w:sz w:val="21"/>
              </w:rPr>
              <w:t>3、</w:t>
            </w:r>
            <w:r>
              <w:rPr>
                <w:spacing w:val="-5"/>
                <w:sz w:val="21"/>
              </w:rPr>
              <w:t>开展“双随机、一公开”监管、重点监管等，畅通</w:t>
            </w:r>
            <w:r>
              <w:rPr>
                <w:spacing w:val="-4"/>
                <w:sz w:val="21"/>
              </w:rPr>
              <w:t>投诉举报渠道，依法处理医患纠纷和医疗事故，加大</w:t>
            </w:r>
            <w:r>
              <w:rPr>
                <w:spacing w:val="-3"/>
                <w:sz w:val="21"/>
              </w:rPr>
              <w:t>对医疗机构的监督检查力度，发现违法违规行为要依</w:t>
            </w:r>
            <w:r>
              <w:rPr>
                <w:sz w:val="21"/>
              </w:rPr>
              <w:t>法查处并向社会公开结果。</w:t>
            </w:r>
          </w:p>
          <w:p>
            <w:pPr>
              <w:pStyle w:val="10"/>
              <w:tabs>
                <w:tab w:val="left" w:pos="331"/>
              </w:tabs>
              <w:spacing w:line="268" w:lineRule="auto"/>
              <w:ind w:right="90"/>
              <w:jc w:val="both"/>
              <w:rPr>
                <w:sz w:val="21"/>
              </w:rPr>
            </w:pPr>
            <w:r>
              <w:rPr>
                <w:rFonts w:hint="eastAsia"/>
                <w:spacing w:val="-4"/>
                <w:sz w:val="21"/>
              </w:rPr>
              <w:t>4、</w:t>
            </w:r>
            <w:r>
              <w:rPr>
                <w:spacing w:val="-4"/>
                <w:sz w:val="21"/>
              </w:rPr>
              <w:t>依法实施信用监管，如实记录违法失信行为，实施差异化监管措施，对严重违法的医疗机构及其从业人</w:t>
            </w:r>
            <w:r>
              <w:rPr>
                <w:sz w:val="21"/>
              </w:rPr>
              <w:t>员实行行业禁入。</w:t>
            </w:r>
          </w:p>
        </w:tc>
        <w:tc>
          <w:tcPr>
            <w:tcW w:w="1230" w:type="dxa"/>
            <w:vAlign w:val="center"/>
          </w:tcPr>
          <w:p>
            <w:pPr>
              <w:pStyle w:val="10"/>
              <w:spacing w:before="31"/>
              <w:ind w:left="118"/>
              <w:jc w:val="both"/>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1955" w:hRule="atLeast"/>
        </w:trPr>
        <w:tc>
          <w:tcPr>
            <w:tcW w:w="769" w:type="dxa"/>
            <w:vAlign w:val="center"/>
          </w:tcPr>
          <w:p>
            <w:pPr>
              <w:pStyle w:val="10"/>
              <w:spacing w:before="161"/>
              <w:ind w:left="196" w:right="180"/>
              <w:jc w:val="center"/>
              <w:rPr>
                <w:sz w:val="21"/>
              </w:rPr>
            </w:pPr>
            <w:r>
              <w:rPr>
                <w:rFonts w:hint="eastAsia"/>
                <w:sz w:val="21"/>
              </w:rPr>
              <w:t>21</w:t>
            </w:r>
          </w:p>
        </w:tc>
        <w:tc>
          <w:tcPr>
            <w:tcW w:w="1336" w:type="dxa"/>
            <w:vAlign w:val="center"/>
          </w:tcPr>
          <w:p>
            <w:pPr>
              <w:pStyle w:val="10"/>
              <w:spacing w:before="178" w:line="268" w:lineRule="auto"/>
              <w:ind w:left="16" w:right="-15"/>
              <w:jc w:val="center"/>
              <w:rPr>
                <w:sz w:val="21"/>
              </w:rPr>
            </w:pPr>
            <w:r>
              <w:rPr>
                <w:rFonts w:hint="eastAsia"/>
                <w:sz w:val="21"/>
              </w:rPr>
              <w:t>区行政审批服务局</w:t>
            </w:r>
          </w:p>
        </w:tc>
        <w:tc>
          <w:tcPr>
            <w:tcW w:w="2376" w:type="dxa"/>
            <w:vAlign w:val="center"/>
          </w:tcPr>
          <w:p>
            <w:pPr>
              <w:pStyle w:val="10"/>
              <w:spacing w:before="178" w:line="268" w:lineRule="auto"/>
              <w:ind w:left="16" w:right="-15"/>
              <w:jc w:val="center"/>
              <w:rPr>
                <w:sz w:val="21"/>
              </w:rPr>
            </w:pPr>
            <w:r>
              <w:rPr>
                <w:sz w:val="21"/>
              </w:rPr>
              <w:t>城市供水经营许可证核发</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before="161"/>
              <w:ind w:left="116" w:right="88"/>
              <w:jc w:val="center"/>
              <w:rPr>
                <w:sz w:val="21"/>
              </w:rPr>
            </w:pPr>
            <w:r>
              <w:rPr>
                <w:sz w:val="21"/>
              </w:rPr>
              <w:t>取消</w:t>
            </w:r>
          </w:p>
        </w:tc>
        <w:tc>
          <w:tcPr>
            <w:tcW w:w="502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exact"/>
              <w:ind w:right="40"/>
              <w:jc w:val="both"/>
              <w:textAlignment w:val="auto"/>
              <w:rPr>
                <w:rFonts w:hint="eastAsia"/>
                <w:sz w:val="21"/>
              </w:rPr>
            </w:pPr>
            <w:r>
              <w:rPr>
                <w:sz w:val="21"/>
              </w:rPr>
              <w:t>取消许可后，城乡水务部门要通过以下措施加强监管：</w:t>
            </w:r>
          </w:p>
          <w:p>
            <w:pPr>
              <w:pStyle w:val="10"/>
              <w:keepNext w:val="0"/>
              <w:keepLines w:val="0"/>
              <w:pageBreakBefore w:val="0"/>
              <w:widowControl w:val="0"/>
              <w:kinsoku/>
              <w:wordWrap/>
              <w:overflowPunct/>
              <w:topLinePunct w:val="0"/>
              <w:autoSpaceDE w:val="0"/>
              <w:autoSpaceDN w:val="0"/>
              <w:bidi w:val="0"/>
              <w:adjustRightInd/>
              <w:snapToGrid/>
              <w:spacing w:line="240" w:lineRule="exact"/>
              <w:ind w:right="40"/>
              <w:jc w:val="both"/>
              <w:textAlignment w:val="auto"/>
              <w:rPr>
                <w:rFonts w:hint="eastAsia"/>
                <w:sz w:val="21"/>
              </w:rPr>
            </w:pPr>
            <w:r>
              <w:rPr>
                <w:rFonts w:hint="eastAsia"/>
                <w:sz w:val="21"/>
              </w:rPr>
              <w:t>1</w:t>
            </w:r>
            <w:r>
              <w:rPr>
                <w:rFonts w:hint="eastAsia"/>
                <w:sz w:val="21"/>
                <w:lang w:eastAsia="zh-CN"/>
              </w:rPr>
              <w:t>、</w:t>
            </w:r>
            <w:r>
              <w:rPr>
                <w:sz w:val="21"/>
              </w:rPr>
              <w:t>纳入日常行业监管。</w:t>
            </w:r>
          </w:p>
          <w:p>
            <w:pPr>
              <w:pStyle w:val="10"/>
              <w:keepNext w:val="0"/>
              <w:keepLines w:val="0"/>
              <w:pageBreakBefore w:val="0"/>
              <w:widowControl w:val="0"/>
              <w:kinsoku/>
              <w:wordWrap/>
              <w:overflowPunct/>
              <w:topLinePunct w:val="0"/>
              <w:autoSpaceDE w:val="0"/>
              <w:autoSpaceDN w:val="0"/>
              <w:bidi w:val="0"/>
              <w:adjustRightInd/>
              <w:snapToGrid/>
              <w:spacing w:line="240" w:lineRule="exact"/>
              <w:ind w:right="40"/>
              <w:jc w:val="both"/>
              <w:textAlignment w:val="auto"/>
              <w:rPr>
                <w:rFonts w:hint="eastAsia"/>
                <w:sz w:val="21"/>
              </w:rPr>
            </w:pPr>
            <w:r>
              <w:rPr>
                <w:rFonts w:hint="eastAsia"/>
                <w:sz w:val="21"/>
              </w:rPr>
              <w:t>2、</w:t>
            </w:r>
            <w:r>
              <w:rPr>
                <w:sz w:val="21"/>
              </w:rPr>
              <w:t>开展“双随机、一公开”监管，畅通投诉举报渠道发现违法违规行为要依法查处并向社会公开结果。</w:t>
            </w:r>
          </w:p>
          <w:p>
            <w:pPr>
              <w:pStyle w:val="10"/>
              <w:keepNext w:val="0"/>
              <w:keepLines w:val="0"/>
              <w:pageBreakBefore w:val="0"/>
              <w:widowControl w:val="0"/>
              <w:kinsoku/>
              <w:wordWrap/>
              <w:overflowPunct/>
              <w:topLinePunct w:val="0"/>
              <w:autoSpaceDE w:val="0"/>
              <w:autoSpaceDN w:val="0"/>
              <w:bidi w:val="0"/>
              <w:adjustRightInd/>
              <w:snapToGrid/>
              <w:spacing w:line="240" w:lineRule="exact"/>
              <w:ind w:right="40"/>
              <w:jc w:val="both"/>
              <w:textAlignment w:val="auto"/>
              <w:rPr>
                <w:sz w:val="18"/>
                <w:szCs w:val="18"/>
              </w:rPr>
            </w:pPr>
            <w:r>
              <w:rPr>
                <w:rFonts w:hint="eastAsia"/>
                <w:sz w:val="21"/>
              </w:rPr>
              <w:t>3、</w:t>
            </w:r>
            <w:r>
              <w:rPr>
                <w:sz w:val="21"/>
              </w:rPr>
              <w:t>依法实施信用监管，如实记录违法失信行为，实施差异化监管等措施。</w:t>
            </w:r>
          </w:p>
        </w:tc>
        <w:tc>
          <w:tcPr>
            <w:tcW w:w="1230" w:type="dxa"/>
            <w:vAlign w:val="center"/>
          </w:tcPr>
          <w:p>
            <w:pPr>
              <w:pStyle w:val="10"/>
              <w:ind w:left="118"/>
              <w:jc w:val="both"/>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776" w:type="dxa"/>
            <w:gridSpan w:val="2"/>
            <w:vAlign w:val="center"/>
          </w:tcPr>
          <w:p>
            <w:pPr>
              <w:pStyle w:val="10"/>
              <w:spacing w:line="268" w:lineRule="auto"/>
              <w:ind w:left="120" w:right="-15"/>
              <w:jc w:val="center"/>
              <w:rPr>
                <w:sz w:val="21"/>
              </w:rPr>
            </w:pPr>
            <w:r>
              <w:rPr>
                <w:rFonts w:hint="eastAsia"/>
                <w:sz w:val="21"/>
              </w:rPr>
              <w:t>22</w:t>
            </w:r>
          </w:p>
        </w:tc>
        <w:tc>
          <w:tcPr>
            <w:tcW w:w="1336" w:type="dxa"/>
            <w:vAlign w:val="center"/>
          </w:tcPr>
          <w:p>
            <w:pPr>
              <w:pStyle w:val="10"/>
              <w:spacing w:before="178" w:line="268" w:lineRule="auto"/>
              <w:ind w:left="16" w:right="-15"/>
              <w:jc w:val="center"/>
              <w:rPr>
                <w:sz w:val="21"/>
              </w:rPr>
            </w:pPr>
            <w:r>
              <w:rPr>
                <w:rFonts w:hint="eastAsia"/>
                <w:sz w:val="21"/>
              </w:rPr>
              <w:t>区住房和城乡建设局</w:t>
            </w:r>
          </w:p>
        </w:tc>
        <w:tc>
          <w:tcPr>
            <w:tcW w:w="2376" w:type="dxa"/>
            <w:vAlign w:val="center"/>
          </w:tcPr>
          <w:p>
            <w:pPr>
              <w:pStyle w:val="10"/>
              <w:spacing w:before="15"/>
              <w:ind w:left="150"/>
              <w:jc w:val="both"/>
              <w:rPr>
                <w:sz w:val="21"/>
              </w:rPr>
            </w:pPr>
            <w:r>
              <w:rPr>
                <w:sz w:val="21"/>
              </w:rPr>
              <w:t>学校、幼儿园、医院、养老院等建筑工程抗震设防专项审查</w:t>
            </w:r>
          </w:p>
        </w:tc>
        <w:tc>
          <w:tcPr>
            <w:tcW w:w="892" w:type="dxa"/>
            <w:vAlign w:val="center"/>
          </w:tcPr>
          <w:p>
            <w:pPr>
              <w:pStyle w:val="10"/>
              <w:spacing w:before="165" w:line="268" w:lineRule="auto"/>
              <w:ind w:left="247" w:right="217"/>
              <w:jc w:val="center"/>
              <w:rPr>
                <w:sz w:val="21"/>
              </w:rPr>
            </w:pPr>
            <w:r>
              <w:rPr>
                <w:sz w:val="21"/>
              </w:rPr>
              <w:t>行政许可</w:t>
            </w:r>
          </w:p>
        </w:tc>
        <w:tc>
          <w:tcPr>
            <w:tcW w:w="2277" w:type="dxa"/>
            <w:vAlign w:val="center"/>
          </w:tcPr>
          <w:p>
            <w:pPr>
              <w:pStyle w:val="10"/>
              <w:spacing w:line="268" w:lineRule="auto"/>
              <w:ind w:left="119" w:right="-15" w:firstLine="85"/>
              <w:jc w:val="both"/>
              <w:rPr>
                <w:sz w:val="21"/>
              </w:rPr>
            </w:pPr>
            <w:r>
              <w:rPr>
                <w:rFonts w:hint="eastAsia"/>
                <w:sz w:val="21"/>
                <w:highlight w:val="none"/>
              </w:rPr>
              <w:t>衔接</w:t>
            </w:r>
            <w:r>
              <w:rPr>
                <w:sz w:val="21"/>
                <w:highlight w:val="none"/>
              </w:rPr>
              <w:t>取消市审批服务部门实施的“学校、幼</w:t>
            </w:r>
            <w:r>
              <w:rPr>
                <w:spacing w:val="-8"/>
                <w:sz w:val="21"/>
                <w:highlight w:val="none"/>
              </w:rPr>
              <w:t>儿园、医院、养老院等</w:t>
            </w:r>
            <w:r>
              <w:rPr>
                <w:sz w:val="21"/>
                <w:highlight w:val="none"/>
              </w:rPr>
              <w:t>建筑工程抗震设防专</w:t>
            </w:r>
            <w:r>
              <w:rPr>
                <w:spacing w:val="-13"/>
                <w:sz w:val="21"/>
                <w:highlight w:val="none"/>
              </w:rPr>
              <w:t>项审查”，对应取消服</w:t>
            </w:r>
            <w:r>
              <w:rPr>
                <w:sz w:val="21"/>
                <w:highlight w:val="none"/>
              </w:rPr>
              <w:t>务窗口前移至</w:t>
            </w:r>
            <w:r>
              <w:rPr>
                <w:rFonts w:hint="eastAsia"/>
                <w:sz w:val="21"/>
                <w:highlight w:val="none"/>
              </w:rPr>
              <w:t>我区</w:t>
            </w:r>
            <w:r>
              <w:rPr>
                <w:sz w:val="21"/>
                <w:highlight w:val="none"/>
              </w:rPr>
              <w:t>的事项权限。</w:t>
            </w:r>
          </w:p>
        </w:tc>
        <w:tc>
          <w:tcPr>
            <w:tcW w:w="5027" w:type="dxa"/>
            <w:vAlign w:val="center"/>
          </w:tcPr>
          <w:p>
            <w:pPr>
              <w:pStyle w:val="10"/>
              <w:spacing w:line="268" w:lineRule="auto"/>
              <w:ind w:left="119" w:right="280"/>
              <w:jc w:val="both"/>
              <w:rPr>
                <w:sz w:val="21"/>
              </w:rPr>
            </w:pPr>
            <w:r>
              <w:rPr>
                <w:sz w:val="21"/>
              </w:rPr>
              <w:t>取消许可后，住房城乡建设部门要通过以下措施加强</w:t>
            </w:r>
          </w:p>
          <w:p>
            <w:pPr>
              <w:pStyle w:val="10"/>
              <w:spacing w:line="268" w:lineRule="auto"/>
              <w:ind w:left="119" w:right="280"/>
              <w:jc w:val="both"/>
              <w:rPr>
                <w:sz w:val="21"/>
              </w:rPr>
            </w:pPr>
            <w:r>
              <w:rPr>
                <w:rFonts w:hint="eastAsia"/>
                <w:sz w:val="21"/>
              </w:rPr>
              <w:t>1、</w:t>
            </w:r>
            <w:r>
              <w:rPr>
                <w:sz w:val="21"/>
              </w:rPr>
              <w:t>监管：纳入施工图审查，进行日常行业监管</w:t>
            </w:r>
            <w:r>
              <w:rPr>
                <w:rFonts w:hint="eastAsia"/>
                <w:sz w:val="21"/>
              </w:rPr>
              <w:t>。</w:t>
            </w:r>
          </w:p>
          <w:p>
            <w:pPr>
              <w:pStyle w:val="10"/>
              <w:spacing w:line="268" w:lineRule="auto"/>
              <w:ind w:left="119" w:right="280"/>
              <w:jc w:val="both"/>
              <w:rPr>
                <w:sz w:val="21"/>
              </w:rPr>
            </w:pPr>
            <w:r>
              <w:rPr>
                <w:rFonts w:hint="eastAsia"/>
                <w:sz w:val="21"/>
              </w:rPr>
              <w:t>2、</w:t>
            </w:r>
            <w:r>
              <w:rPr>
                <w:sz w:val="21"/>
              </w:rPr>
              <w:t>开展“双随机、一公开”监管，畅通投诉举报渠道， 发现违法违规行为要依法查处并向社会公开结果。</w:t>
            </w:r>
          </w:p>
          <w:p>
            <w:pPr>
              <w:pStyle w:val="10"/>
              <w:spacing w:line="268" w:lineRule="auto"/>
              <w:ind w:left="119" w:right="280"/>
              <w:jc w:val="both"/>
              <w:rPr>
                <w:sz w:val="21"/>
              </w:rPr>
            </w:pPr>
            <w:r>
              <w:rPr>
                <w:rFonts w:hint="eastAsia"/>
                <w:sz w:val="21"/>
              </w:rPr>
              <w:t>3、</w:t>
            </w:r>
            <w:r>
              <w:rPr>
                <w:sz w:val="21"/>
              </w:rPr>
              <w:t>依法实施信用监管，如实记录违法失信行为，实施差异化监管等措施。</w:t>
            </w:r>
          </w:p>
        </w:tc>
        <w:tc>
          <w:tcPr>
            <w:tcW w:w="1230" w:type="dxa"/>
            <w:vAlign w:val="center"/>
          </w:tcPr>
          <w:p>
            <w:pPr>
              <w:pStyle w:val="10"/>
              <w:ind w:left="118"/>
              <w:jc w:val="center"/>
              <w:rPr>
                <w:sz w:val="21"/>
              </w:rPr>
            </w:pPr>
          </w:p>
        </w:tc>
      </w:tr>
    </w:tbl>
    <w:p>
      <w:pPr>
        <w:jc w:val="center"/>
        <w:rPr>
          <w:sz w:val="20"/>
        </w:rPr>
      </w:pPr>
    </w:p>
    <w:p>
      <w:pPr>
        <w:jc w:val="both"/>
        <w:rPr>
          <w:sz w:val="20"/>
        </w:rPr>
      </w:pPr>
    </w:p>
    <w:p>
      <w:pPr>
        <w:jc w:val="center"/>
        <w:rPr>
          <w:sz w:val="20"/>
        </w:rPr>
      </w:pPr>
    </w:p>
    <w:tbl>
      <w:tblPr>
        <w:tblStyle w:val="6"/>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1336"/>
        <w:gridCol w:w="2376"/>
        <w:gridCol w:w="1036"/>
        <w:gridCol w:w="2133"/>
        <w:gridCol w:w="5027"/>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645" w:type="dxa"/>
          </w:tcPr>
          <w:p>
            <w:pPr>
              <w:pStyle w:val="10"/>
              <w:spacing w:before="89" w:line="201" w:lineRule="auto"/>
              <w:ind w:left="182" w:right="162"/>
              <w:jc w:val="center"/>
              <w:rPr>
                <w:rFonts w:ascii="黑体" w:eastAsia="黑体"/>
                <w:sz w:val="28"/>
              </w:rPr>
            </w:pPr>
            <w:r>
              <w:rPr>
                <w:rFonts w:hint="eastAsia" w:ascii="黑体" w:eastAsia="黑体"/>
                <w:sz w:val="28"/>
              </w:rPr>
              <w:t>序号</w:t>
            </w:r>
          </w:p>
        </w:tc>
        <w:tc>
          <w:tcPr>
            <w:tcW w:w="1336" w:type="dxa"/>
          </w:tcPr>
          <w:p>
            <w:pPr>
              <w:pStyle w:val="10"/>
              <w:spacing w:before="194"/>
              <w:ind w:left="120"/>
              <w:jc w:val="center"/>
              <w:rPr>
                <w:rFonts w:ascii="黑体" w:eastAsia="黑体"/>
                <w:sz w:val="28"/>
              </w:rPr>
            </w:pPr>
            <w:r>
              <w:rPr>
                <w:rFonts w:hint="eastAsia" w:ascii="黑体" w:eastAsia="黑体"/>
                <w:sz w:val="28"/>
              </w:rPr>
              <w:t>实施部门</w:t>
            </w:r>
          </w:p>
        </w:tc>
        <w:tc>
          <w:tcPr>
            <w:tcW w:w="2376" w:type="dxa"/>
          </w:tcPr>
          <w:p>
            <w:pPr>
              <w:pStyle w:val="10"/>
              <w:spacing w:before="194"/>
              <w:ind w:left="221"/>
              <w:jc w:val="center"/>
              <w:rPr>
                <w:rFonts w:ascii="黑体" w:eastAsia="黑体"/>
                <w:sz w:val="28"/>
              </w:rPr>
            </w:pPr>
            <w:r>
              <w:rPr>
                <w:rFonts w:hint="eastAsia" w:ascii="黑体" w:eastAsia="黑体"/>
                <w:sz w:val="28"/>
              </w:rPr>
              <w:t>事项名称及权限</w:t>
            </w:r>
          </w:p>
        </w:tc>
        <w:tc>
          <w:tcPr>
            <w:tcW w:w="1036" w:type="dxa"/>
          </w:tcPr>
          <w:p>
            <w:pPr>
              <w:pStyle w:val="10"/>
              <w:spacing w:before="4" w:line="300" w:lineRule="exact"/>
              <w:ind w:left="177" w:right="148"/>
              <w:jc w:val="center"/>
              <w:rPr>
                <w:rFonts w:ascii="黑体" w:eastAsia="黑体"/>
                <w:sz w:val="28"/>
              </w:rPr>
            </w:pPr>
            <w:r>
              <w:rPr>
                <w:rFonts w:hint="eastAsia" w:ascii="黑体" w:eastAsia="黑体"/>
                <w:sz w:val="28"/>
              </w:rPr>
              <w:t>事项类别</w:t>
            </w:r>
          </w:p>
        </w:tc>
        <w:tc>
          <w:tcPr>
            <w:tcW w:w="2133" w:type="dxa"/>
          </w:tcPr>
          <w:p>
            <w:pPr>
              <w:pStyle w:val="10"/>
              <w:spacing w:before="194"/>
              <w:ind w:left="115" w:right="88"/>
              <w:jc w:val="center"/>
              <w:rPr>
                <w:rFonts w:ascii="黑体" w:eastAsia="黑体"/>
                <w:sz w:val="28"/>
              </w:rPr>
            </w:pPr>
            <w:r>
              <w:rPr>
                <w:rFonts w:hint="eastAsia" w:ascii="黑体" w:eastAsia="黑体"/>
                <w:sz w:val="28"/>
              </w:rPr>
              <w:t>调整意见</w:t>
            </w:r>
          </w:p>
        </w:tc>
        <w:tc>
          <w:tcPr>
            <w:tcW w:w="5027" w:type="dxa"/>
          </w:tcPr>
          <w:p>
            <w:pPr>
              <w:pStyle w:val="10"/>
              <w:spacing w:before="194"/>
              <w:ind w:left="1124"/>
              <w:jc w:val="center"/>
              <w:rPr>
                <w:rFonts w:ascii="黑体" w:eastAsia="黑体"/>
                <w:sz w:val="28"/>
              </w:rPr>
            </w:pPr>
            <w:r>
              <w:rPr>
                <w:rFonts w:hint="eastAsia" w:ascii="黑体" w:eastAsia="黑体"/>
                <w:sz w:val="28"/>
              </w:rPr>
              <w:t>加强事中事后监管措施</w:t>
            </w:r>
          </w:p>
        </w:tc>
        <w:tc>
          <w:tcPr>
            <w:tcW w:w="1230" w:type="dxa"/>
          </w:tcPr>
          <w:p>
            <w:pPr>
              <w:pStyle w:val="10"/>
              <w:spacing w:before="194"/>
              <w:ind w:left="344"/>
              <w:jc w:val="center"/>
              <w:rPr>
                <w:rFonts w:ascii="黑体" w:eastAsia="黑体"/>
                <w:sz w:val="28"/>
              </w:rPr>
            </w:pPr>
            <w:r>
              <w:rPr>
                <w:rFonts w:hint="eastAsia" w:ascii="黑体" w:eastAsia="黑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3783" w:type="dxa"/>
            <w:gridSpan w:val="7"/>
          </w:tcPr>
          <w:p>
            <w:pPr>
              <w:pStyle w:val="10"/>
              <w:spacing w:before="58"/>
              <w:rPr>
                <w:rFonts w:ascii="楷体_GB2312" w:hAnsi="楷体_GB2312" w:eastAsia="楷体_GB2312"/>
                <w:sz w:val="28"/>
              </w:rPr>
            </w:pPr>
            <w:r>
              <w:rPr>
                <w:rFonts w:hint="eastAsia" w:ascii="楷体_GB2312" w:eastAsia="楷体_GB2312"/>
                <w:sz w:val="28"/>
              </w:rPr>
              <w:t>二、</w:t>
            </w:r>
            <w:r>
              <w:rPr>
                <w:rFonts w:hint="eastAsia" w:ascii="楷体_GB2312" w:hAnsi="楷体_GB2312" w:eastAsia="楷体_GB2312"/>
                <w:spacing w:val="-7"/>
                <w:sz w:val="28"/>
              </w:rPr>
              <w:t>以“市县同权”方式调整至区</w:t>
            </w:r>
            <w:r>
              <w:rPr>
                <w:rFonts w:hint="eastAsia" w:ascii="楷体_GB2312" w:hAnsi="楷体_GB2312" w:eastAsia="楷体_GB2312"/>
                <w:sz w:val="28"/>
              </w:rPr>
              <w:t>级</w:t>
            </w:r>
            <w:r>
              <w:rPr>
                <w:rFonts w:hint="eastAsia" w:ascii="楷体_GB2312" w:hAnsi="楷体_GB2312" w:eastAsia="楷体_GB2312"/>
                <w:spacing w:val="-2"/>
                <w:sz w:val="28"/>
              </w:rPr>
              <w:t>实施的行政权力事项（4项）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645" w:type="dxa"/>
            <w:vAlign w:val="center"/>
          </w:tcPr>
          <w:p>
            <w:pPr>
              <w:pStyle w:val="10"/>
              <w:ind w:left="216"/>
              <w:jc w:val="center"/>
              <w:rPr>
                <w:rFonts w:hint="eastAsia" w:eastAsia="宋体"/>
                <w:sz w:val="21"/>
                <w:lang w:eastAsia="zh-CN"/>
              </w:rPr>
            </w:pPr>
            <w:r>
              <w:rPr>
                <w:rFonts w:hint="eastAsia"/>
                <w:sz w:val="21"/>
                <w:lang w:val="en-US" w:eastAsia="zh-CN"/>
              </w:rPr>
              <w:t>1</w:t>
            </w:r>
          </w:p>
        </w:tc>
        <w:tc>
          <w:tcPr>
            <w:tcW w:w="1336" w:type="dxa"/>
            <w:vAlign w:val="center"/>
          </w:tcPr>
          <w:p>
            <w:pPr>
              <w:pStyle w:val="10"/>
              <w:spacing w:before="178" w:line="268" w:lineRule="auto"/>
              <w:ind w:left="16" w:right="-15"/>
              <w:jc w:val="center"/>
              <w:rPr>
                <w:spacing w:val="-9"/>
                <w:sz w:val="21"/>
              </w:rPr>
            </w:pPr>
            <w:r>
              <w:rPr>
                <w:rFonts w:hint="eastAsia"/>
                <w:sz w:val="21"/>
              </w:rPr>
              <w:t>区行政审批服务局</w:t>
            </w:r>
          </w:p>
        </w:tc>
        <w:tc>
          <w:tcPr>
            <w:tcW w:w="2376" w:type="dxa"/>
            <w:vAlign w:val="center"/>
          </w:tcPr>
          <w:p>
            <w:pPr>
              <w:pStyle w:val="10"/>
              <w:spacing w:before="63" w:line="268" w:lineRule="auto"/>
              <w:ind w:left="119" w:right="88" w:hanging="2"/>
              <w:jc w:val="left"/>
              <w:rPr>
                <w:spacing w:val="-9"/>
                <w:sz w:val="21"/>
              </w:rPr>
            </w:pPr>
            <w:r>
              <w:rPr>
                <w:spacing w:val="-9"/>
                <w:sz w:val="21"/>
              </w:rPr>
              <w:t>成品油零售经营资格审批</w:t>
            </w:r>
          </w:p>
        </w:tc>
        <w:tc>
          <w:tcPr>
            <w:tcW w:w="1036" w:type="dxa"/>
            <w:vAlign w:val="center"/>
          </w:tcPr>
          <w:p>
            <w:pPr>
              <w:pStyle w:val="10"/>
              <w:spacing w:before="151" w:line="268" w:lineRule="auto"/>
              <w:ind w:left="247" w:right="217"/>
              <w:jc w:val="center"/>
              <w:rPr>
                <w:sz w:val="21"/>
              </w:rPr>
            </w:pPr>
            <w:r>
              <w:rPr>
                <w:sz w:val="21"/>
              </w:rPr>
              <w:t>行政许可</w:t>
            </w:r>
          </w:p>
        </w:tc>
        <w:tc>
          <w:tcPr>
            <w:tcW w:w="2133" w:type="dxa"/>
            <w:vAlign w:val="center"/>
          </w:tcPr>
          <w:p>
            <w:pPr>
              <w:pStyle w:val="10"/>
              <w:spacing w:before="63" w:line="268" w:lineRule="auto"/>
              <w:ind w:left="119" w:right="88" w:hanging="2"/>
              <w:jc w:val="both"/>
              <w:rPr>
                <w:sz w:val="21"/>
              </w:rPr>
            </w:pPr>
            <w:r>
              <w:rPr>
                <w:spacing w:val="-9"/>
                <w:sz w:val="21"/>
              </w:rPr>
              <w:t>采用“下放实质性审核</w:t>
            </w:r>
            <w:r>
              <w:rPr>
                <w:spacing w:val="-8"/>
                <w:sz w:val="21"/>
              </w:rPr>
              <w:t>权”方式</w:t>
            </w:r>
            <w:r>
              <w:rPr>
                <w:rFonts w:hint="eastAsia"/>
                <w:spacing w:val="-8"/>
                <w:sz w:val="21"/>
              </w:rPr>
              <w:t>承接，</w:t>
            </w:r>
            <w:r>
              <w:rPr>
                <w:spacing w:val="-8"/>
                <w:sz w:val="21"/>
              </w:rPr>
              <w:t>实现“市县同</w:t>
            </w:r>
            <w:r>
              <w:rPr>
                <w:sz w:val="21"/>
              </w:rPr>
              <w:t>权”。</w:t>
            </w:r>
          </w:p>
        </w:tc>
        <w:tc>
          <w:tcPr>
            <w:tcW w:w="5027" w:type="dxa"/>
            <w:vAlign w:val="center"/>
          </w:tcPr>
          <w:p>
            <w:pPr>
              <w:pStyle w:val="10"/>
              <w:ind w:left="119"/>
              <w:jc w:val="both"/>
              <w:rPr>
                <w:sz w:val="18"/>
                <w:szCs w:val="18"/>
                <w:lang w:val="en-US"/>
              </w:rPr>
            </w:pPr>
            <w:r>
              <w:rPr>
                <w:sz w:val="18"/>
                <w:szCs w:val="18"/>
                <w:lang w:val="en-US"/>
              </w:rPr>
              <w:t xml:space="preserve">商务部门要会同有关部门通过以下措施加强监管： </w:t>
            </w:r>
          </w:p>
          <w:p>
            <w:pPr>
              <w:pStyle w:val="10"/>
              <w:ind w:left="119"/>
              <w:jc w:val="both"/>
              <w:rPr>
                <w:sz w:val="18"/>
                <w:szCs w:val="18"/>
                <w:lang w:val="en-US"/>
              </w:rPr>
            </w:pPr>
            <w:r>
              <w:rPr>
                <w:sz w:val="18"/>
                <w:szCs w:val="18"/>
                <w:lang w:val="en-US"/>
              </w:rPr>
              <w:t xml:space="preserve">1.商务部门严格落实成品油流通行业监管职责。通过组织年度检查、“双随机、一公开”检查等加强日常监管。重点检查成品油零售企业是否取得《成品油零售经营批准证书》,并办理营业执照、危险化学品经营许可证、税务登记手续；建立购销台账制度，完善油品来源、检验报告、检查记录等凭证材料档案。及时向社会公开年度检查结果及“双随机”检查结果。发现违法违规行为依法处理或者提请有关部门予以查处，建立成品油流通企业“黑名单”并向社会公开,结合企业诚信经营和风险状况依法实施差异化监管。支持行业协会发挥行业自律作用。 </w:t>
            </w:r>
          </w:p>
          <w:p>
            <w:pPr>
              <w:pStyle w:val="10"/>
              <w:ind w:left="119"/>
              <w:jc w:val="both"/>
              <w:rPr>
                <w:sz w:val="18"/>
                <w:szCs w:val="18"/>
                <w:lang w:val="en-US"/>
              </w:rPr>
            </w:pPr>
            <w:r>
              <w:rPr>
                <w:sz w:val="18"/>
                <w:szCs w:val="18"/>
                <w:lang w:val="en-US"/>
              </w:rPr>
              <w:t xml:space="preserve">2.严格落实属地监管职责。由商务部门牵头建立跨部门联合监管机制,开展成品油监管领导小组办公室日常工作，加强部门协同监管。建立投诉举报制度，定期组织开展对成品油零售企业的专项检查，发现违法违规行为移交各有关部门按职责依法依规查处。建立企业信用记录并纳入全国信用信息平台，对违法失信企业依法实施信用惩戒。 </w:t>
            </w:r>
          </w:p>
          <w:p>
            <w:pPr>
              <w:pStyle w:val="10"/>
              <w:ind w:left="119"/>
              <w:jc w:val="both"/>
              <w:rPr>
                <w:sz w:val="18"/>
                <w:szCs w:val="18"/>
                <w:lang w:val="en-US"/>
              </w:rPr>
            </w:pPr>
            <w:r>
              <w:rPr>
                <w:sz w:val="18"/>
                <w:szCs w:val="18"/>
                <w:lang w:val="en-US"/>
              </w:rPr>
              <w:t>3.相关部门严格落实专项监管职责。从事成品油零售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照职责依法依规加强监管,承担安全生产监管责任的部门切实履行监管责任、守牢安全底线。</w:t>
            </w:r>
          </w:p>
          <w:p>
            <w:pPr>
              <w:pStyle w:val="10"/>
              <w:ind w:left="119"/>
              <w:jc w:val="both"/>
              <w:rPr>
                <w:sz w:val="18"/>
                <w:szCs w:val="18"/>
                <w:lang w:val="en-US"/>
              </w:rPr>
            </w:pPr>
            <w:r>
              <w:rPr>
                <w:sz w:val="18"/>
                <w:szCs w:val="18"/>
                <w:lang w:val="en-US"/>
              </w:rPr>
              <w:t>4.加强成品油零售行业监管信息共享运用。审批服务部门要及时将新登记经营范围涉及成品油零售的企业信息推送至有关主管部门。商务部门要将改革前已取得相应许可的成品油零售企业信息推送至有关主管部门。将行业监管中发现的超经营范围经营企业信息或无照经营信息及时推送至有关主管部门。各有关主管部门要充分运用共享的监管信息共享，有针对性地加强监管执法。</w:t>
            </w:r>
          </w:p>
          <w:p>
            <w:pPr>
              <w:pStyle w:val="10"/>
              <w:spacing w:line="280" w:lineRule="exact"/>
              <w:ind w:left="119"/>
              <w:rPr>
                <w:sz w:val="21"/>
              </w:rPr>
            </w:pPr>
          </w:p>
        </w:tc>
        <w:tc>
          <w:tcPr>
            <w:tcW w:w="1230" w:type="dxa"/>
            <w:vAlign w:val="center"/>
          </w:tcPr>
          <w:p>
            <w:pPr>
              <w:pStyle w:val="10"/>
              <w:spacing w:before="31"/>
              <w:ind w:left="118"/>
              <w:jc w:val="center"/>
              <w:rPr>
                <w:sz w:val="21"/>
                <w:lang w:val="en-US"/>
              </w:rPr>
            </w:pPr>
            <w:r>
              <w:rPr>
                <w:sz w:val="21"/>
              </w:rPr>
              <w:t>落实</w:t>
            </w:r>
            <w:r>
              <w:rPr>
                <w:rFonts w:hint="eastAsia"/>
                <w:sz w:val="21"/>
              </w:rPr>
              <w:t>枣政发</w:t>
            </w:r>
            <w:r>
              <w:rPr>
                <w:sz w:val="21"/>
              </w:rPr>
              <w:t>〔2021〕</w:t>
            </w:r>
            <w:r>
              <w:rPr>
                <w:rFonts w:hint="eastAsia"/>
                <w:sz w:val="21"/>
                <w:lang w:val="en-US"/>
              </w:rPr>
              <w:t>2</w:t>
            </w:r>
          </w:p>
          <w:p>
            <w:pPr>
              <w:pStyle w:val="10"/>
              <w:spacing w:before="31" w:line="268" w:lineRule="auto"/>
              <w:ind w:left="118" w:right="251"/>
              <w:jc w:val="center"/>
              <w:rPr>
                <w:sz w:val="21"/>
              </w:rPr>
            </w:pPr>
            <w:r>
              <w:rPr>
                <w:sz w:val="21"/>
              </w:rPr>
              <w:t>号</w:t>
            </w:r>
            <w:r>
              <w:rPr>
                <w:rFonts w:hint="eastAsia"/>
                <w:sz w:val="21"/>
              </w:rPr>
              <w:t>文件和“</w:t>
            </w:r>
            <w:r>
              <w:rPr>
                <w:sz w:val="21"/>
              </w:rPr>
              <w:t>市县同权”改革要求</w:t>
            </w:r>
          </w:p>
        </w:tc>
      </w:tr>
    </w:tbl>
    <w:p>
      <w:pPr>
        <w:spacing w:before="10"/>
        <w:rPr>
          <w:sz w:val="5"/>
        </w:rPr>
      </w:pPr>
    </w:p>
    <w:tbl>
      <w:tblPr>
        <w:tblStyle w:val="6"/>
        <w:tblW w:w="0" w:type="auto"/>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336"/>
        <w:gridCol w:w="2376"/>
        <w:gridCol w:w="892"/>
        <w:gridCol w:w="2277"/>
        <w:gridCol w:w="502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45" w:type="dxa"/>
          </w:tcPr>
          <w:p>
            <w:pPr>
              <w:pStyle w:val="10"/>
              <w:spacing w:before="89" w:line="201" w:lineRule="auto"/>
              <w:ind w:left="182" w:right="162"/>
              <w:rPr>
                <w:rFonts w:ascii="黑体" w:eastAsia="黑体"/>
                <w:sz w:val="28"/>
              </w:rPr>
            </w:pPr>
            <w:r>
              <w:rPr>
                <w:rFonts w:hint="eastAsia" w:ascii="黑体" w:eastAsia="黑体"/>
                <w:sz w:val="28"/>
              </w:rPr>
              <w:t>序号</w:t>
            </w:r>
          </w:p>
        </w:tc>
        <w:tc>
          <w:tcPr>
            <w:tcW w:w="1336" w:type="dxa"/>
          </w:tcPr>
          <w:p>
            <w:pPr>
              <w:pStyle w:val="10"/>
              <w:spacing w:before="194"/>
              <w:ind w:left="120"/>
              <w:rPr>
                <w:rFonts w:ascii="黑体" w:eastAsia="黑体"/>
                <w:sz w:val="28"/>
              </w:rPr>
            </w:pPr>
            <w:r>
              <w:rPr>
                <w:rFonts w:hint="eastAsia" w:ascii="黑体" w:eastAsia="黑体"/>
                <w:sz w:val="28"/>
              </w:rPr>
              <w:t>实施部门</w:t>
            </w:r>
          </w:p>
        </w:tc>
        <w:tc>
          <w:tcPr>
            <w:tcW w:w="2376" w:type="dxa"/>
          </w:tcPr>
          <w:p>
            <w:pPr>
              <w:pStyle w:val="10"/>
              <w:spacing w:before="194"/>
              <w:ind w:left="221"/>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rPr>
                <w:rFonts w:ascii="黑体" w:eastAsia="黑体"/>
                <w:sz w:val="28"/>
              </w:rPr>
            </w:pPr>
            <w:r>
              <w:rPr>
                <w:rFonts w:hint="eastAsia" w:ascii="黑体" w:eastAsia="黑体"/>
                <w:sz w:val="28"/>
              </w:rPr>
              <w:t>事项类别</w:t>
            </w:r>
          </w:p>
        </w:tc>
        <w:tc>
          <w:tcPr>
            <w:tcW w:w="2277" w:type="dxa"/>
          </w:tcPr>
          <w:p>
            <w:pPr>
              <w:pStyle w:val="10"/>
              <w:spacing w:before="194"/>
              <w:ind w:left="115" w:right="88"/>
              <w:jc w:val="center"/>
              <w:rPr>
                <w:rFonts w:ascii="黑体" w:eastAsia="黑体"/>
                <w:sz w:val="28"/>
              </w:rPr>
            </w:pPr>
            <w:r>
              <w:rPr>
                <w:rFonts w:hint="eastAsia" w:ascii="黑体" w:eastAsia="黑体"/>
                <w:sz w:val="28"/>
              </w:rPr>
              <w:t>调整意见</w:t>
            </w:r>
          </w:p>
        </w:tc>
        <w:tc>
          <w:tcPr>
            <w:tcW w:w="5027" w:type="dxa"/>
          </w:tcPr>
          <w:p>
            <w:pPr>
              <w:pStyle w:val="10"/>
              <w:spacing w:before="194"/>
              <w:ind w:left="1124"/>
              <w:rPr>
                <w:rFonts w:ascii="黑体" w:eastAsia="黑体"/>
                <w:sz w:val="28"/>
              </w:rPr>
            </w:pPr>
            <w:r>
              <w:rPr>
                <w:rFonts w:hint="eastAsia" w:ascii="黑体" w:eastAsia="黑体"/>
                <w:sz w:val="28"/>
              </w:rPr>
              <w:t>加强事中事后监管措施</w:t>
            </w:r>
          </w:p>
        </w:tc>
        <w:tc>
          <w:tcPr>
            <w:tcW w:w="1230" w:type="dxa"/>
          </w:tcPr>
          <w:p>
            <w:pPr>
              <w:pStyle w:val="10"/>
              <w:spacing w:before="194"/>
              <w:ind w:left="344"/>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645" w:type="dxa"/>
            <w:vAlign w:val="center"/>
          </w:tcPr>
          <w:p>
            <w:pPr>
              <w:pStyle w:val="10"/>
              <w:spacing w:before="1"/>
              <w:ind w:left="196" w:right="180"/>
              <w:jc w:val="center"/>
              <w:rPr>
                <w:rFonts w:hint="eastAsia" w:eastAsia="宋体"/>
                <w:sz w:val="21"/>
                <w:lang w:eastAsia="zh-CN"/>
              </w:rPr>
            </w:pPr>
            <w:r>
              <w:rPr>
                <w:rFonts w:hint="eastAsia"/>
                <w:sz w:val="21"/>
                <w:lang w:val="en-US" w:eastAsia="zh-CN"/>
              </w:rPr>
              <w:t>2</w:t>
            </w:r>
          </w:p>
        </w:tc>
        <w:tc>
          <w:tcPr>
            <w:tcW w:w="1336" w:type="dxa"/>
            <w:vAlign w:val="center"/>
          </w:tcPr>
          <w:p>
            <w:pPr>
              <w:pStyle w:val="10"/>
              <w:spacing w:before="178" w:line="268" w:lineRule="auto"/>
              <w:ind w:left="16" w:right="-15"/>
              <w:jc w:val="center"/>
              <w:rPr>
                <w:sz w:val="21"/>
              </w:rPr>
            </w:pPr>
            <w:r>
              <w:rPr>
                <w:rFonts w:hint="eastAsia"/>
                <w:sz w:val="21"/>
              </w:rPr>
              <w:t>区市场监督和管理局</w:t>
            </w:r>
          </w:p>
        </w:tc>
        <w:tc>
          <w:tcPr>
            <w:tcW w:w="2376" w:type="dxa"/>
            <w:vAlign w:val="center"/>
          </w:tcPr>
          <w:p>
            <w:pPr>
              <w:pStyle w:val="10"/>
              <w:spacing w:before="154" w:line="268" w:lineRule="auto"/>
              <w:ind w:left="119" w:right="50"/>
              <w:rPr>
                <w:sz w:val="21"/>
              </w:rPr>
            </w:pPr>
            <w:r>
              <w:rPr>
                <w:sz w:val="21"/>
              </w:rPr>
              <w:t>对知识产权质押融资项目的审核</w:t>
            </w:r>
          </w:p>
        </w:tc>
        <w:tc>
          <w:tcPr>
            <w:tcW w:w="892" w:type="dxa"/>
            <w:vAlign w:val="center"/>
          </w:tcPr>
          <w:p>
            <w:pPr>
              <w:pStyle w:val="10"/>
              <w:spacing w:line="268" w:lineRule="auto"/>
              <w:ind w:left="142" w:right="112"/>
              <w:jc w:val="center"/>
              <w:rPr>
                <w:sz w:val="21"/>
              </w:rPr>
            </w:pPr>
            <w:r>
              <w:rPr>
                <w:sz w:val="21"/>
              </w:rPr>
              <w:t>其他行政权力</w:t>
            </w:r>
          </w:p>
        </w:tc>
        <w:tc>
          <w:tcPr>
            <w:tcW w:w="2277" w:type="dxa"/>
            <w:vAlign w:val="center"/>
          </w:tcPr>
          <w:p>
            <w:pPr>
              <w:pStyle w:val="10"/>
              <w:spacing w:before="154" w:line="268" w:lineRule="auto"/>
              <w:ind w:left="119" w:right="50"/>
              <w:jc w:val="both"/>
              <w:rPr>
                <w:sz w:val="21"/>
              </w:rPr>
            </w:pPr>
            <w:r>
              <w:rPr>
                <w:sz w:val="21"/>
              </w:rPr>
              <w:t>采用“下放实质性审核权”方式</w:t>
            </w:r>
            <w:r>
              <w:rPr>
                <w:rFonts w:hint="eastAsia"/>
                <w:sz w:val="21"/>
              </w:rPr>
              <w:t>承接，</w:t>
            </w:r>
            <w:r>
              <w:rPr>
                <w:sz w:val="21"/>
              </w:rPr>
              <w:t>实现“市县同权”。</w:t>
            </w:r>
          </w:p>
        </w:tc>
        <w:tc>
          <w:tcPr>
            <w:tcW w:w="5027" w:type="dxa"/>
            <w:vAlign w:val="center"/>
          </w:tcPr>
          <w:p>
            <w:pPr>
              <w:pStyle w:val="10"/>
              <w:spacing w:line="268" w:lineRule="auto"/>
              <w:ind w:right="41"/>
              <w:jc w:val="both"/>
              <w:rPr>
                <w:sz w:val="21"/>
              </w:rPr>
            </w:pPr>
            <w:r>
              <w:rPr>
                <w:sz w:val="21"/>
              </w:rPr>
              <w:t>承接后，知识产权管理部门通过以下措施加强事中事后监管：</w:t>
            </w:r>
          </w:p>
          <w:p>
            <w:pPr>
              <w:pStyle w:val="10"/>
              <w:spacing w:line="268" w:lineRule="auto"/>
              <w:ind w:right="41"/>
              <w:jc w:val="both"/>
              <w:rPr>
                <w:sz w:val="21"/>
              </w:rPr>
            </w:pPr>
            <w:r>
              <w:rPr>
                <w:rFonts w:hint="eastAsia"/>
                <w:spacing w:val="-3"/>
                <w:sz w:val="21"/>
              </w:rPr>
              <w:t>1、</w:t>
            </w:r>
            <w:r>
              <w:rPr>
                <w:spacing w:val="-3"/>
                <w:sz w:val="21"/>
              </w:rPr>
              <w:t>将知识产权贴息分配方案报省市场监管局、市财政</w:t>
            </w:r>
            <w:r>
              <w:rPr>
                <w:sz w:val="21"/>
              </w:rPr>
              <w:t>局备案；</w:t>
            </w:r>
          </w:p>
          <w:p>
            <w:pPr>
              <w:pStyle w:val="10"/>
              <w:tabs>
                <w:tab w:val="left" w:pos="331"/>
              </w:tabs>
              <w:spacing w:line="266" w:lineRule="exact"/>
              <w:jc w:val="both"/>
              <w:rPr>
                <w:sz w:val="21"/>
              </w:rPr>
            </w:pPr>
            <w:r>
              <w:rPr>
                <w:rFonts w:hint="eastAsia"/>
                <w:sz w:val="21"/>
              </w:rPr>
              <w:t>2、</w:t>
            </w:r>
            <w:r>
              <w:rPr>
                <w:sz w:val="21"/>
              </w:rPr>
              <w:t>各级知识产权主管部门按规定加强资金审核。</w:t>
            </w:r>
          </w:p>
        </w:tc>
        <w:tc>
          <w:tcPr>
            <w:tcW w:w="1230" w:type="dxa"/>
            <w:vAlign w:val="center"/>
          </w:tcPr>
          <w:p>
            <w:pPr>
              <w:pStyle w:val="10"/>
              <w:spacing w:before="31"/>
              <w:ind w:left="118"/>
              <w:jc w:val="center"/>
              <w:rPr>
                <w:sz w:val="21"/>
              </w:rPr>
            </w:pPr>
            <w:r>
              <w:rPr>
                <w:sz w:val="21"/>
              </w:rPr>
              <w:t>落实</w:t>
            </w:r>
            <w:r>
              <w:rPr>
                <w:rFonts w:hint="eastAsia"/>
                <w:sz w:val="21"/>
              </w:rPr>
              <w:t>枣政发</w:t>
            </w:r>
            <w:r>
              <w:rPr>
                <w:sz w:val="21"/>
              </w:rPr>
              <w:t>〔2021〕</w:t>
            </w:r>
            <w:r>
              <w:rPr>
                <w:rFonts w:hint="eastAsia"/>
                <w:sz w:val="21"/>
                <w:lang w:val="en-US"/>
              </w:rPr>
              <w:t>2</w:t>
            </w:r>
            <w:r>
              <w:rPr>
                <w:sz w:val="21"/>
              </w:rPr>
              <w:t>号</w:t>
            </w:r>
            <w:r>
              <w:rPr>
                <w:rFonts w:hint="eastAsia"/>
                <w:sz w:val="21"/>
              </w:rPr>
              <w:t>文件</w:t>
            </w:r>
            <w:r>
              <w:rPr>
                <w:spacing w:val="-12"/>
                <w:sz w:val="21"/>
              </w:rPr>
              <w:t xml:space="preserve">和“市县同 </w:t>
            </w:r>
            <w:r>
              <w:rPr>
                <w:spacing w:val="-10"/>
                <w:sz w:val="21"/>
              </w:rPr>
              <w:t>权”改革要求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3</w:t>
            </w:r>
          </w:p>
        </w:tc>
        <w:tc>
          <w:tcPr>
            <w:tcW w:w="1336" w:type="dxa"/>
            <w:vAlign w:val="center"/>
          </w:tcPr>
          <w:p>
            <w:pPr>
              <w:pStyle w:val="10"/>
              <w:spacing w:before="178" w:line="268" w:lineRule="auto"/>
              <w:ind w:left="16" w:right="-15"/>
              <w:jc w:val="center"/>
              <w:rPr>
                <w:sz w:val="21"/>
              </w:rPr>
            </w:pPr>
            <w:r>
              <w:rPr>
                <w:rFonts w:hint="eastAsia"/>
                <w:sz w:val="21"/>
              </w:rPr>
              <w:t>区住房和城乡建设局</w:t>
            </w:r>
          </w:p>
        </w:tc>
        <w:tc>
          <w:tcPr>
            <w:tcW w:w="2376" w:type="dxa"/>
            <w:vAlign w:val="center"/>
          </w:tcPr>
          <w:p>
            <w:pPr>
              <w:pStyle w:val="10"/>
              <w:spacing w:before="154" w:line="268" w:lineRule="auto"/>
              <w:ind w:left="119" w:right="50"/>
              <w:jc w:val="center"/>
              <w:rPr>
                <w:sz w:val="21"/>
              </w:rPr>
            </w:pPr>
            <w:r>
              <w:rPr>
                <w:sz w:val="21"/>
              </w:rPr>
              <w:t>房地产开发企业资质核定——二级资质延续、变更、遗失补办</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before="1" w:line="268" w:lineRule="auto"/>
              <w:ind w:left="119" w:right="88" w:hanging="2"/>
              <w:jc w:val="both"/>
              <w:rPr>
                <w:sz w:val="21"/>
              </w:rPr>
            </w:pPr>
            <w:r>
              <w:rPr>
                <w:spacing w:val="-8"/>
                <w:sz w:val="21"/>
              </w:rPr>
              <w:t>采用“下放实质性审核权”方式</w:t>
            </w:r>
            <w:r>
              <w:rPr>
                <w:rFonts w:hint="eastAsia"/>
                <w:spacing w:val="-8"/>
                <w:sz w:val="21"/>
              </w:rPr>
              <w:t>承接，</w:t>
            </w:r>
            <w:r>
              <w:rPr>
                <w:spacing w:val="-8"/>
                <w:sz w:val="21"/>
              </w:rPr>
              <w:t>实现“市县同</w:t>
            </w:r>
            <w:r>
              <w:rPr>
                <w:sz w:val="21"/>
              </w:rPr>
              <w:t>权”</w:t>
            </w:r>
          </w:p>
        </w:tc>
        <w:tc>
          <w:tcPr>
            <w:tcW w:w="5027" w:type="dxa"/>
            <w:vAlign w:val="center"/>
          </w:tcPr>
          <w:p>
            <w:pPr>
              <w:pStyle w:val="10"/>
              <w:spacing w:before="30" w:line="268" w:lineRule="auto"/>
              <w:ind w:left="119" w:right="509"/>
              <w:jc w:val="both"/>
              <w:rPr>
                <w:sz w:val="21"/>
              </w:rPr>
            </w:pPr>
            <w:r>
              <w:rPr>
                <w:spacing w:val="-21"/>
                <w:sz w:val="21"/>
              </w:rPr>
              <w:t>调整后，住房城乡建设部门通过以下措施加强监管： 1.进行日常行业监管。</w:t>
            </w:r>
          </w:p>
          <w:p>
            <w:pPr>
              <w:pStyle w:val="10"/>
              <w:spacing w:line="268" w:lineRule="auto"/>
              <w:ind w:left="119" w:right="-15"/>
              <w:jc w:val="both"/>
              <w:rPr>
                <w:sz w:val="21"/>
              </w:rPr>
            </w:pPr>
            <w:r>
              <w:rPr>
                <w:sz w:val="21"/>
              </w:rPr>
              <w:t>2.</w:t>
            </w:r>
            <w:r>
              <w:rPr>
                <w:spacing w:val="-13"/>
                <w:sz w:val="21"/>
              </w:rPr>
              <w:t xml:space="preserve">开展“双随机、一公开”监管，畅通投诉举报渠道， </w:t>
            </w:r>
            <w:r>
              <w:rPr>
                <w:sz w:val="21"/>
              </w:rPr>
              <w:t>发现违法违规行为要依法查处并向社会公开结果。 3.</w:t>
            </w:r>
            <w:r>
              <w:rPr>
                <w:spacing w:val="-3"/>
                <w:sz w:val="21"/>
              </w:rPr>
              <w:t>依法实施信用监管，如实记录违法失信行为，实施</w:t>
            </w:r>
          </w:p>
          <w:p>
            <w:pPr>
              <w:pStyle w:val="10"/>
              <w:spacing w:line="246" w:lineRule="exact"/>
              <w:ind w:left="119"/>
              <w:jc w:val="both"/>
              <w:rPr>
                <w:sz w:val="21"/>
              </w:rPr>
            </w:pPr>
            <w:r>
              <w:rPr>
                <w:sz w:val="21"/>
              </w:rPr>
              <w:t>差异化监管等措施。</w:t>
            </w:r>
          </w:p>
        </w:tc>
        <w:tc>
          <w:tcPr>
            <w:tcW w:w="1230" w:type="dxa"/>
            <w:vAlign w:val="center"/>
          </w:tcPr>
          <w:p>
            <w:pPr>
              <w:pStyle w:val="10"/>
              <w:spacing w:before="1" w:line="268" w:lineRule="auto"/>
              <w:ind w:left="118" w:right="77"/>
              <w:jc w:val="center"/>
              <w:rPr>
                <w:sz w:val="21"/>
              </w:rPr>
            </w:pPr>
            <w:r>
              <w:rPr>
                <w:spacing w:val="-12"/>
                <w:sz w:val="21"/>
              </w:rPr>
              <w:t>落实“市县同权”改革</w:t>
            </w:r>
            <w:r>
              <w:rPr>
                <w:sz w:val="2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1" w:hRule="atLeast"/>
        </w:trPr>
        <w:tc>
          <w:tcPr>
            <w:tcW w:w="645" w:type="dxa"/>
            <w:vAlign w:val="center"/>
          </w:tcPr>
          <w:p>
            <w:pPr>
              <w:pStyle w:val="10"/>
              <w:spacing w:before="1"/>
              <w:ind w:left="196" w:right="180"/>
              <w:jc w:val="center"/>
              <w:rPr>
                <w:rFonts w:hint="eastAsia" w:eastAsia="宋体"/>
                <w:sz w:val="21"/>
                <w:lang w:eastAsia="zh-CN"/>
              </w:rPr>
            </w:pPr>
            <w:r>
              <w:rPr>
                <w:rFonts w:hint="eastAsia"/>
                <w:sz w:val="21"/>
                <w:lang w:val="en-US" w:eastAsia="zh-CN"/>
              </w:rPr>
              <w:t>4</w:t>
            </w:r>
          </w:p>
        </w:tc>
        <w:tc>
          <w:tcPr>
            <w:tcW w:w="1336" w:type="dxa"/>
            <w:vAlign w:val="center"/>
          </w:tcPr>
          <w:p>
            <w:pPr>
              <w:pStyle w:val="10"/>
              <w:spacing w:before="178" w:line="268" w:lineRule="auto"/>
              <w:ind w:left="16" w:right="-15"/>
              <w:jc w:val="center"/>
              <w:rPr>
                <w:sz w:val="21"/>
              </w:rPr>
            </w:pPr>
            <w:r>
              <w:rPr>
                <w:rFonts w:hint="eastAsia"/>
                <w:sz w:val="21"/>
              </w:rPr>
              <w:t>区生态环境分局</w:t>
            </w:r>
          </w:p>
        </w:tc>
        <w:tc>
          <w:tcPr>
            <w:tcW w:w="2376" w:type="dxa"/>
            <w:vAlign w:val="center"/>
          </w:tcPr>
          <w:p>
            <w:pPr>
              <w:pStyle w:val="10"/>
              <w:spacing w:before="129" w:line="268" w:lineRule="auto"/>
              <w:ind w:left="119" w:right="50"/>
              <w:jc w:val="both"/>
              <w:rPr>
                <w:sz w:val="21"/>
              </w:rPr>
            </w:pPr>
            <w:r>
              <w:rPr>
                <w:sz w:val="21"/>
              </w:rPr>
              <w:t>建设项目环境影响评价审批——除跨市的项目外，《山东省环境保护厅审批环境影响评价文件的建设项目目录(2017 年本)》中明确的项目、2019年生态环境部下放的9类项目的环境影响 评价文件审批</w:t>
            </w:r>
          </w:p>
        </w:tc>
        <w:tc>
          <w:tcPr>
            <w:tcW w:w="892" w:type="dxa"/>
            <w:vAlign w:val="center"/>
          </w:tcPr>
          <w:p>
            <w:pPr>
              <w:pStyle w:val="10"/>
              <w:spacing w:before="154" w:line="268" w:lineRule="auto"/>
              <w:ind w:left="247" w:right="217"/>
              <w:jc w:val="center"/>
              <w:rPr>
                <w:sz w:val="21"/>
              </w:rPr>
            </w:pPr>
            <w:r>
              <w:rPr>
                <w:sz w:val="21"/>
              </w:rPr>
              <w:t>行政许可</w:t>
            </w:r>
          </w:p>
        </w:tc>
        <w:tc>
          <w:tcPr>
            <w:tcW w:w="2277" w:type="dxa"/>
            <w:vAlign w:val="center"/>
          </w:tcPr>
          <w:p>
            <w:pPr>
              <w:pStyle w:val="10"/>
              <w:spacing w:before="154" w:line="268" w:lineRule="auto"/>
              <w:ind w:left="119" w:right="50"/>
              <w:jc w:val="both"/>
              <w:rPr>
                <w:sz w:val="21"/>
              </w:rPr>
            </w:pPr>
            <w:r>
              <w:rPr>
                <w:sz w:val="21"/>
              </w:rPr>
              <w:t>采用“服务窗口前移” 方式</w:t>
            </w:r>
            <w:r>
              <w:rPr>
                <w:rFonts w:hint="eastAsia"/>
                <w:sz w:val="21"/>
              </w:rPr>
              <w:t>承接，</w:t>
            </w:r>
            <w:r>
              <w:rPr>
                <w:sz w:val="21"/>
              </w:rPr>
              <w:t>实现“市县同权”</w:t>
            </w:r>
          </w:p>
        </w:tc>
        <w:tc>
          <w:tcPr>
            <w:tcW w:w="5027" w:type="dxa"/>
            <w:vAlign w:val="center"/>
          </w:tcPr>
          <w:p>
            <w:pPr>
              <w:pStyle w:val="10"/>
              <w:spacing w:before="1" w:line="268" w:lineRule="auto"/>
              <w:ind w:left="119" w:right="280"/>
              <w:jc w:val="both"/>
              <w:rPr>
                <w:sz w:val="21"/>
              </w:rPr>
            </w:pPr>
            <w:r>
              <w:rPr>
                <w:sz w:val="21"/>
              </w:rPr>
              <w:t>事项调整后，生态环境部门要通过以下措施加强监管：</w:t>
            </w:r>
          </w:p>
          <w:p>
            <w:pPr>
              <w:pStyle w:val="10"/>
              <w:spacing w:line="268" w:lineRule="auto"/>
              <w:ind w:left="119" w:right="-15"/>
              <w:jc w:val="both"/>
              <w:rPr>
                <w:sz w:val="21"/>
              </w:rPr>
            </w:pPr>
            <w:r>
              <w:rPr>
                <w:sz w:val="21"/>
              </w:rPr>
              <w:t>1.</w:t>
            </w:r>
            <w:r>
              <w:rPr>
                <w:spacing w:val="-13"/>
                <w:sz w:val="21"/>
              </w:rPr>
              <w:t xml:space="preserve">开展“双随机、一公开”监管，畅通投诉举报渠道， </w:t>
            </w:r>
            <w:r>
              <w:rPr>
                <w:sz w:val="21"/>
              </w:rPr>
              <w:t>发现违法违规行为要依法查处并向社会公开结果。 2.</w:t>
            </w:r>
            <w:r>
              <w:rPr>
                <w:spacing w:val="-3"/>
                <w:sz w:val="21"/>
              </w:rPr>
              <w:t>依法实施信用监管，如实记录违法失信行为，实施差异化监管等措施。</w:t>
            </w:r>
          </w:p>
        </w:tc>
        <w:tc>
          <w:tcPr>
            <w:tcW w:w="1230" w:type="dxa"/>
            <w:vAlign w:val="center"/>
          </w:tcPr>
          <w:p>
            <w:pPr>
              <w:pStyle w:val="10"/>
              <w:spacing w:line="268" w:lineRule="auto"/>
              <w:ind w:left="118" w:right="77"/>
              <w:jc w:val="center"/>
              <w:rPr>
                <w:sz w:val="21"/>
              </w:rPr>
            </w:pPr>
            <w:r>
              <w:rPr>
                <w:spacing w:val="-12"/>
                <w:sz w:val="21"/>
              </w:rPr>
              <w:t>落实“市县同权”改革</w:t>
            </w:r>
            <w:r>
              <w:rPr>
                <w:sz w:val="21"/>
              </w:rPr>
              <w:t>要求</w:t>
            </w:r>
          </w:p>
        </w:tc>
      </w:tr>
    </w:tbl>
    <w:p>
      <w:pPr>
        <w:rPr>
          <w:sz w:val="20"/>
        </w:rPr>
      </w:pPr>
    </w:p>
    <w:p>
      <w:pPr>
        <w:rPr>
          <w:sz w:val="20"/>
        </w:rPr>
      </w:pPr>
    </w:p>
    <w:p>
      <w:pPr>
        <w:rPr>
          <w:sz w:val="20"/>
        </w:rPr>
      </w:pPr>
    </w:p>
    <w:p>
      <w:pPr>
        <w:rPr>
          <w:sz w:val="20"/>
        </w:rPr>
      </w:pPr>
    </w:p>
    <w:p>
      <w:pPr>
        <w:rPr>
          <w:sz w:val="20"/>
        </w:rPr>
      </w:pPr>
    </w:p>
    <w:p>
      <w:pPr>
        <w:rPr>
          <w:sz w:val="20"/>
        </w:rPr>
      </w:pPr>
    </w:p>
    <w:p>
      <w:pPr>
        <w:rPr>
          <w:sz w:val="20"/>
        </w:rPr>
      </w:pPr>
    </w:p>
    <w:p>
      <w:pPr>
        <w:spacing w:before="9"/>
        <w:rPr>
          <w:sz w:val="17"/>
        </w:rPr>
      </w:pPr>
    </w:p>
    <w:tbl>
      <w:tblPr>
        <w:tblStyle w:val="6"/>
        <w:tblW w:w="0" w:type="auto"/>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336"/>
        <w:gridCol w:w="2376"/>
        <w:gridCol w:w="892"/>
        <w:gridCol w:w="2277"/>
        <w:gridCol w:w="502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45" w:type="dxa"/>
          </w:tcPr>
          <w:p>
            <w:pPr>
              <w:pStyle w:val="10"/>
              <w:spacing w:before="89" w:line="201" w:lineRule="auto"/>
              <w:ind w:left="182" w:right="162"/>
              <w:rPr>
                <w:rFonts w:ascii="黑体" w:eastAsia="黑体"/>
                <w:sz w:val="28"/>
              </w:rPr>
            </w:pPr>
            <w:r>
              <w:rPr>
                <w:rFonts w:hint="eastAsia" w:ascii="黑体" w:eastAsia="黑体"/>
                <w:sz w:val="28"/>
              </w:rPr>
              <w:t>序号</w:t>
            </w:r>
          </w:p>
        </w:tc>
        <w:tc>
          <w:tcPr>
            <w:tcW w:w="1336" w:type="dxa"/>
          </w:tcPr>
          <w:p>
            <w:pPr>
              <w:pStyle w:val="10"/>
              <w:spacing w:before="194"/>
              <w:ind w:left="120"/>
              <w:rPr>
                <w:rFonts w:ascii="黑体" w:eastAsia="黑体"/>
                <w:sz w:val="28"/>
              </w:rPr>
            </w:pPr>
            <w:r>
              <w:rPr>
                <w:rFonts w:hint="eastAsia" w:ascii="黑体" w:eastAsia="黑体"/>
                <w:sz w:val="28"/>
              </w:rPr>
              <w:t>实施部门</w:t>
            </w:r>
          </w:p>
        </w:tc>
        <w:tc>
          <w:tcPr>
            <w:tcW w:w="2376" w:type="dxa"/>
          </w:tcPr>
          <w:p>
            <w:pPr>
              <w:pStyle w:val="10"/>
              <w:spacing w:before="194"/>
              <w:ind w:left="147" w:right="118"/>
              <w:jc w:val="center"/>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rPr>
                <w:rFonts w:ascii="黑体" w:eastAsia="黑体"/>
                <w:sz w:val="28"/>
              </w:rPr>
            </w:pPr>
            <w:r>
              <w:rPr>
                <w:rFonts w:hint="eastAsia" w:ascii="黑体" w:eastAsia="黑体"/>
                <w:sz w:val="28"/>
              </w:rPr>
              <w:t>事项类别</w:t>
            </w:r>
          </w:p>
        </w:tc>
        <w:tc>
          <w:tcPr>
            <w:tcW w:w="2277" w:type="dxa"/>
          </w:tcPr>
          <w:p>
            <w:pPr>
              <w:pStyle w:val="10"/>
              <w:spacing w:before="194"/>
              <w:ind w:left="590"/>
              <w:rPr>
                <w:rFonts w:ascii="黑体" w:eastAsia="黑体"/>
                <w:sz w:val="28"/>
              </w:rPr>
            </w:pPr>
            <w:r>
              <w:rPr>
                <w:rFonts w:hint="eastAsia" w:ascii="黑体" w:eastAsia="黑体"/>
                <w:sz w:val="28"/>
              </w:rPr>
              <w:t>调整意见</w:t>
            </w:r>
          </w:p>
        </w:tc>
        <w:tc>
          <w:tcPr>
            <w:tcW w:w="5027" w:type="dxa"/>
          </w:tcPr>
          <w:p>
            <w:pPr>
              <w:pStyle w:val="10"/>
              <w:spacing w:before="194"/>
              <w:ind w:left="1124"/>
              <w:rPr>
                <w:rFonts w:ascii="黑体" w:eastAsia="黑体"/>
                <w:sz w:val="28"/>
              </w:rPr>
            </w:pPr>
            <w:r>
              <w:rPr>
                <w:rFonts w:hint="eastAsia" w:ascii="黑体" w:eastAsia="黑体"/>
                <w:sz w:val="28"/>
              </w:rPr>
              <w:t>加强事中事后监管措施</w:t>
            </w:r>
          </w:p>
        </w:tc>
        <w:tc>
          <w:tcPr>
            <w:tcW w:w="1230" w:type="dxa"/>
          </w:tcPr>
          <w:p>
            <w:pPr>
              <w:pStyle w:val="10"/>
              <w:spacing w:before="194"/>
              <w:ind w:left="344"/>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783" w:type="dxa"/>
            <w:gridSpan w:val="7"/>
          </w:tcPr>
          <w:p>
            <w:pPr>
              <w:pStyle w:val="10"/>
              <w:spacing w:before="34"/>
              <w:rPr>
                <w:rFonts w:ascii="楷体_GB2312" w:eastAsia="楷体_GB2312"/>
                <w:sz w:val="28"/>
              </w:rPr>
            </w:pPr>
            <w:r>
              <w:rPr>
                <w:rFonts w:hint="eastAsia" w:ascii="楷体_GB2312" w:eastAsia="楷体_GB2312"/>
                <w:sz w:val="28"/>
              </w:rPr>
              <w:t>三、优化调整的行政权力事项（4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4"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1</w:t>
            </w:r>
          </w:p>
        </w:tc>
        <w:tc>
          <w:tcPr>
            <w:tcW w:w="1336" w:type="dxa"/>
            <w:vAlign w:val="center"/>
          </w:tcPr>
          <w:p>
            <w:pPr>
              <w:pStyle w:val="10"/>
              <w:spacing w:before="178" w:line="268" w:lineRule="auto"/>
              <w:ind w:left="16" w:right="-15"/>
              <w:jc w:val="center"/>
              <w:rPr>
                <w:sz w:val="21"/>
              </w:rPr>
            </w:pPr>
            <w:r>
              <w:rPr>
                <w:rFonts w:hint="eastAsia"/>
                <w:sz w:val="21"/>
              </w:rPr>
              <w:t>区农业农村局</w:t>
            </w:r>
          </w:p>
        </w:tc>
        <w:tc>
          <w:tcPr>
            <w:tcW w:w="2376" w:type="dxa"/>
            <w:vAlign w:val="center"/>
          </w:tcPr>
          <w:p>
            <w:pPr>
              <w:pStyle w:val="10"/>
              <w:ind w:left="147" w:right="118"/>
              <w:jc w:val="center"/>
              <w:rPr>
                <w:sz w:val="21"/>
              </w:rPr>
            </w:pPr>
            <w:r>
              <w:rPr>
                <w:sz w:val="21"/>
              </w:rPr>
              <w:t>乡村兽医登记许可</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line="268" w:lineRule="auto"/>
              <w:ind w:left="119" w:right="88"/>
              <w:jc w:val="both"/>
              <w:rPr>
                <w:sz w:val="21"/>
              </w:rPr>
            </w:pPr>
            <w:r>
              <w:rPr>
                <w:rFonts w:hint="eastAsia"/>
                <w:sz w:val="21"/>
              </w:rPr>
              <w:t>衔接取消区农业农村部门实施的行政许可“乡村兽医登记许可”，改为备案。</w:t>
            </w:r>
          </w:p>
        </w:tc>
        <w:tc>
          <w:tcPr>
            <w:tcW w:w="502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48" w:line="240" w:lineRule="exact"/>
              <w:ind w:left="119" w:right="88"/>
              <w:jc w:val="both"/>
              <w:textAlignment w:val="auto"/>
              <w:rPr>
                <w:sz w:val="21"/>
              </w:rPr>
            </w:pPr>
            <w:r>
              <w:rPr>
                <w:spacing w:val="-21"/>
                <w:sz w:val="21"/>
              </w:rPr>
              <w:t>取消许可，改为备案后，区</w:t>
            </w:r>
            <w:r>
              <w:rPr>
                <w:rFonts w:hint="eastAsia"/>
                <w:spacing w:val="-21"/>
                <w:sz w:val="21"/>
              </w:rPr>
              <w:t>农业农村局</w:t>
            </w:r>
            <w:r>
              <w:rPr>
                <w:spacing w:val="-17"/>
                <w:sz w:val="21"/>
              </w:rPr>
              <w:t>要通过以下措施加强事中事后监管：</w:t>
            </w:r>
          </w:p>
          <w:p>
            <w:pPr>
              <w:pStyle w:val="10"/>
              <w:keepNext w:val="0"/>
              <w:keepLines w:val="0"/>
              <w:pageBreakBefore w:val="0"/>
              <w:widowControl w:val="0"/>
              <w:numPr>
                <w:ilvl w:val="0"/>
                <w:numId w:val="1"/>
              </w:numPr>
              <w:tabs>
                <w:tab w:val="left" w:pos="323"/>
              </w:tabs>
              <w:kinsoku/>
              <w:wordWrap/>
              <w:overflowPunct/>
              <w:topLinePunct w:val="0"/>
              <w:autoSpaceDE w:val="0"/>
              <w:autoSpaceDN w:val="0"/>
              <w:bidi w:val="0"/>
              <w:adjustRightInd/>
              <w:snapToGrid/>
              <w:spacing w:before="1" w:line="240" w:lineRule="exact"/>
              <w:ind w:left="119" w:right="90" w:firstLine="0"/>
              <w:jc w:val="both"/>
              <w:textAlignment w:val="auto"/>
              <w:rPr>
                <w:sz w:val="21"/>
              </w:rPr>
            </w:pPr>
            <w:r>
              <w:rPr>
                <w:spacing w:val="-20"/>
                <w:sz w:val="21"/>
              </w:rPr>
              <w:t>建立健全乡村兽医服务人员备案制度，对不按要求备案</w:t>
            </w:r>
            <w:r>
              <w:rPr>
                <w:spacing w:val="-17"/>
                <w:sz w:val="21"/>
              </w:rPr>
              <w:t>的要依法设定并追究责任。要向社会公开备案情况。</w:t>
            </w:r>
          </w:p>
          <w:p>
            <w:pPr>
              <w:pStyle w:val="10"/>
              <w:keepNext w:val="0"/>
              <w:keepLines w:val="0"/>
              <w:pageBreakBefore w:val="0"/>
              <w:widowControl w:val="0"/>
              <w:numPr>
                <w:ilvl w:val="0"/>
                <w:numId w:val="1"/>
              </w:numPr>
              <w:tabs>
                <w:tab w:val="left" w:pos="323"/>
              </w:tabs>
              <w:kinsoku/>
              <w:wordWrap/>
              <w:overflowPunct/>
              <w:topLinePunct w:val="0"/>
              <w:autoSpaceDE w:val="0"/>
              <w:autoSpaceDN w:val="0"/>
              <w:bidi w:val="0"/>
              <w:adjustRightInd/>
              <w:snapToGrid/>
              <w:spacing w:before="1" w:line="240" w:lineRule="exact"/>
              <w:ind w:left="119" w:right="75" w:firstLine="0"/>
              <w:jc w:val="both"/>
              <w:textAlignment w:val="auto"/>
              <w:rPr>
                <w:sz w:val="21"/>
              </w:rPr>
            </w:pPr>
            <w:r>
              <w:rPr>
                <w:spacing w:val="-23"/>
                <w:sz w:val="21"/>
              </w:rPr>
              <w:t>开展“双随机、一公开”监管，畅通投诉举报渠道，发</w:t>
            </w:r>
            <w:r>
              <w:rPr>
                <w:spacing w:val="-17"/>
                <w:sz w:val="21"/>
              </w:rPr>
              <w:t>现违法违规行为要依法查处并向社会公开结果。</w:t>
            </w:r>
          </w:p>
          <w:p>
            <w:pPr>
              <w:pStyle w:val="10"/>
              <w:keepNext w:val="0"/>
              <w:keepLines w:val="0"/>
              <w:pageBreakBefore w:val="0"/>
              <w:widowControl w:val="0"/>
              <w:numPr>
                <w:ilvl w:val="0"/>
                <w:numId w:val="1"/>
              </w:numPr>
              <w:tabs>
                <w:tab w:val="left" w:pos="323"/>
              </w:tabs>
              <w:kinsoku/>
              <w:wordWrap/>
              <w:overflowPunct/>
              <w:topLinePunct w:val="0"/>
              <w:autoSpaceDE w:val="0"/>
              <w:autoSpaceDN w:val="0"/>
              <w:bidi w:val="0"/>
              <w:adjustRightInd/>
              <w:snapToGrid/>
              <w:spacing w:line="240" w:lineRule="exact"/>
              <w:ind w:left="119" w:right="88" w:firstLine="0"/>
              <w:jc w:val="both"/>
              <w:textAlignment w:val="auto"/>
              <w:rPr>
                <w:sz w:val="21"/>
              </w:rPr>
            </w:pPr>
            <w:r>
              <w:rPr>
                <w:spacing w:val="-20"/>
                <w:sz w:val="21"/>
              </w:rPr>
              <w:t>依法实施信用监管，如实记录违法失信行为，实施差异</w:t>
            </w:r>
            <w:r>
              <w:rPr>
                <w:spacing w:val="-17"/>
                <w:sz w:val="21"/>
              </w:rPr>
              <w:t>化监管。</w:t>
            </w:r>
          </w:p>
        </w:tc>
        <w:tc>
          <w:tcPr>
            <w:tcW w:w="1230" w:type="dxa"/>
            <w:vAlign w:val="center"/>
          </w:tcPr>
          <w:p>
            <w:pPr>
              <w:pStyle w:val="10"/>
              <w:spacing w:before="6"/>
              <w:jc w:val="center"/>
              <w:rPr>
                <w:sz w:val="28"/>
              </w:rPr>
            </w:pPr>
          </w:p>
          <w:p>
            <w:pPr>
              <w:pStyle w:val="10"/>
              <w:ind w:left="118"/>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2" w:hRule="atLeast"/>
        </w:trPr>
        <w:tc>
          <w:tcPr>
            <w:tcW w:w="645" w:type="dxa"/>
            <w:vAlign w:val="center"/>
          </w:tcPr>
          <w:p>
            <w:pPr>
              <w:pStyle w:val="10"/>
              <w:spacing w:before="1"/>
              <w:ind w:left="196" w:right="180"/>
              <w:jc w:val="center"/>
              <w:rPr>
                <w:rFonts w:hint="eastAsia" w:eastAsia="宋体"/>
                <w:sz w:val="21"/>
                <w:lang w:eastAsia="zh-CN"/>
              </w:rPr>
            </w:pPr>
            <w:r>
              <w:rPr>
                <w:rFonts w:hint="eastAsia"/>
                <w:sz w:val="21"/>
                <w:lang w:val="en-US" w:eastAsia="zh-CN"/>
              </w:rPr>
              <w:t>2</w:t>
            </w:r>
          </w:p>
        </w:tc>
        <w:tc>
          <w:tcPr>
            <w:tcW w:w="1336" w:type="dxa"/>
            <w:vAlign w:val="center"/>
          </w:tcPr>
          <w:p>
            <w:pPr>
              <w:pStyle w:val="10"/>
              <w:spacing w:before="178" w:line="268" w:lineRule="auto"/>
              <w:ind w:left="16" w:right="-15"/>
              <w:jc w:val="center"/>
              <w:rPr>
                <w:sz w:val="21"/>
              </w:rPr>
            </w:pPr>
            <w:r>
              <w:rPr>
                <w:rFonts w:hint="eastAsia"/>
                <w:sz w:val="21"/>
              </w:rPr>
              <w:t>区</w:t>
            </w:r>
            <w:r>
              <w:rPr>
                <w:sz w:val="21"/>
              </w:rPr>
              <w:t>文化和旅游</w:t>
            </w:r>
            <w:r>
              <w:rPr>
                <w:rFonts w:hint="eastAsia"/>
                <w:sz w:val="21"/>
              </w:rPr>
              <w:t>局</w:t>
            </w:r>
          </w:p>
        </w:tc>
        <w:tc>
          <w:tcPr>
            <w:tcW w:w="2376" w:type="dxa"/>
            <w:vAlign w:val="center"/>
          </w:tcPr>
          <w:p>
            <w:pPr>
              <w:pStyle w:val="10"/>
              <w:spacing w:line="268" w:lineRule="auto"/>
              <w:ind w:left="120" w:right="88" w:firstLine="30"/>
              <w:jc w:val="both"/>
              <w:rPr>
                <w:sz w:val="21"/>
              </w:rPr>
            </w:pPr>
            <w:r>
              <w:rPr>
                <w:sz w:val="21"/>
              </w:rPr>
              <w:t>广播电台、电视台变更台名、台标、节目设置范围或节目套数审批和初审——①县级广播电台、电视台变更台名、节目设置范围或节目套数审批；②县级以上（不包括县级）广播电台、电视台变更台名、台标（省级）、节目设置范围或节目套数初审</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exact"/>
              <w:ind w:left="119" w:right="91" w:firstLine="28"/>
              <w:jc w:val="both"/>
              <w:textAlignment w:val="auto"/>
              <w:rPr>
                <w:sz w:val="21"/>
              </w:rPr>
            </w:pPr>
            <w:r>
              <w:rPr>
                <w:rFonts w:hint="eastAsia"/>
                <w:sz w:val="21"/>
              </w:rPr>
              <w:t>衔接</w:t>
            </w:r>
            <w:r>
              <w:rPr>
                <w:sz w:val="21"/>
              </w:rPr>
              <w:t>取消原行政许可事项“广播电台、电视台申请调整节目套数（包括高清节目等）、台名、技术参数等事项审核” 初审权限，对应调整为“广播电台、电视台变更台名、台标、节目设置范围或节目套数审批和初审——①县级广播电台、电视台变更台名、节目设置范围或节目套数审批；②县级以上（不包括县级）广播电台、电视台变更台名、台标（省级）、节目设置范围或节目套数初审”初审权限。</w:t>
            </w:r>
          </w:p>
        </w:tc>
        <w:tc>
          <w:tcPr>
            <w:tcW w:w="5027" w:type="dxa"/>
            <w:vAlign w:val="center"/>
          </w:tcPr>
          <w:p>
            <w:pPr>
              <w:pStyle w:val="10"/>
              <w:spacing w:line="268" w:lineRule="auto"/>
              <w:ind w:left="119" w:right="41"/>
              <w:jc w:val="both"/>
              <w:rPr>
                <w:sz w:val="21"/>
              </w:rPr>
            </w:pPr>
            <w:r>
              <w:rPr>
                <w:sz w:val="21"/>
              </w:rPr>
              <w:t>调整权限后，文化和旅游部门要通过以下措施加强监管：</w:t>
            </w:r>
          </w:p>
          <w:p>
            <w:pPr>
              <w:pStyle w:val="10"/>
              <w:tabs>
                <w:tab w:val="left" w:pos="331"/>
              </w:tabs>
              <w:spacing w:line="268" w:lineRule="auto"/>
              <w:ind w:left="119" w:right="90"/>
              <w:jc w:val="both"/>
              <w:rPr>
                <w:sz w:val="21"/>
              </w:rPr>
            </w:pPr>
            <w:r>
              <w:rPr>
                <w:rFonts w:hint="eastAsia"/>
                <w:spacing w:val="-4"/>
                <w:sz w:val="21"/>
              </w:rPr>
              <w:t>1、</w:t>
            </w:r>
            <w:r>
              <w:rPr>
                <w:spacing w:val="-4"/>
                <w:sz w:val="21"/>
              </w:rPr>
              <w:t>完善技术监管措施，对广播电台、电视台节目播出情况进行实时监管，制定应急预案并及时处理突发事</w:t>
            </w:r>
            <w:r>
              <w:rPr>
                <w:sz w:val="21"/>
              </w:rPr>
              <w:t>件。</w:t>
            </w:r>
          </w:p>
          <w:p>
            <w:pPr>
              <w:pStyle w:val="10"/>
              <w:tabs>
                <w:tab w:val="left" w:pos="331"/>
              </w:tabs>
              <w:spacing w:line="268" w:lineRule="auto"/>
              <w:ind w:left="119" w:right="71"/>
              <w:jc w:val="both"/>
              <w:rPr>
                <w:sz w:val="21"/>
              </w:rPr>
            </w:pPr>
            <w:r>
              <w:rPr>
                <w:rFonts w:hint="eastAsia"/>
                <w:spacing w:val="-1"/>
                <w:sz w:val="21"/>
              </w:rPr>
              <w:t>2、</w:t>
            </w:r>
            <w:r>
              <w:rPr>
                <w:spacing w:val="-1"/>
                <w:sz w:val="21"/>
              </w:rPr>
              <w:t xml:space="preserve">通过“双随机、一公开”监管、信用监管等方式， </w:t>
            </w:r>
            <w:r>
              <w:rPr>
                <w:spacing w:val="-3"/>
                <w:sz w:val="21"/>
              </w:rPr>
              <w:t>加大执法监督力度，发现违法违规行为要依法查处并向社会公开结果。</w:t>
            </w:r>
          </w:p>
        </w:tc>
        <w:tc>
          <w:tcPr>
            <w:tcW w:w="1230" w:type="dxa"/>
            <w:vAlign w:val="center"/>
          </w:tcPr>
          <w:p>
            <w:pPr>
              <w:pStyle w:val="10"/>
              <w:spacing w:before="157"/>
              <w:jc w:val="center"/>
              <w:rPr>
                <w:sz w:val="21"/>
              </w:rPr>
            </w:pPr>
          </w:p>
          <w:p>
            <w:pPr>
              <w:pStyle w:val="10"/>
              <w:spacing w:before="31"/>
              <w:ind w:left="118"/>
              <w:jc w:val="center"/>
              <w:rPr>
                <w:sz w:val="21"/>
              </w:rPr>
            </w:pPr>
          </w:p>
        </w:tc>
      </w:tr>
    </w:tbl>
    <w:p>
      <w:pPr>
        <w:spacing w:before="9"/>
        <w:rPr>
          <w:sz w:val="17"/>
        </w:rPr>
      </w:pPr>
    </w:p>
    <w:p>
      <w:pPr>
        <w:spacing w:before="9"/>
        <w:rPr>
          <w:sz w:val="17"/>
        </w:rPr>
      </w:pPr>
    </w:p>
    <w:p>
      <w:pPr>
        <w:spacing w:before="9"/>
        <w:rPr>
          <w:sz w:val="17"/>
        </w:rPr>
      </w:pPr>
    </w:p>
    <w:tbl>
      <w:tblPr>
        <w:tblStyle w:val="6"/>
        <w:tblW w:w="0" w:type="auto"/>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336"/>
        <w:gridCol w:w="2376"/>
        <w:gridCol w:w="892"/>
        <w:gridCol w:w="2277"/>
        <w:gridCol w:w="502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45" w:type="dxa"/>
          </w:tcPr>
          <w:p>
            <w:pPr>
              <w:pStyle w:val="10"/>
              <w:spacing w:before="89" w:line="201" w:lineRule="auto"/>
              <w:ind w:left="182" w:right="162"/>
              <w:rPr>
                <w:rFonts w:ascii="黑体" w:eastAsia="黑体"/>
                <w:sz w:val="28"/>
              </w:rPr>
            </w:pPr>
            <w:r>
              <w:rPr>
                <w:rFonts w:hint="eastAsia" w:ascii="黑体" w:eastAsia="黑体"/>
                <w:sz w:val="28"/>
              </w:rPr>
              <w:t>序号</w:t>
            </w:r>
          </w:p>
        </w:tc>
        <w:tc>
          <w:tcPr>
            <w:tcW w:w="1336" w:type="dxa"/>
          </w:tcPr>
          <w:p>
            <w:pPr>
              <w:pStyle w:val="10"/>
              <w:spacing w:before="194"/>
              <w:ind w:left="120"/>
              <w:rPr>
                <w:rFonts w:ascii="黑体" w:eastAsia="黑体"/>
                <w:sz w:val="28"/>
              </w:rPr>
            </w:pPr>
            <w:r>
              <w:rPr>
                <w:rFonts w:hint="eastAsia" w:ascii="黑体" w:eastAsia="黑体"/>
                <w:sz w:val="28"/>
              </w:rPr>
              <w:t>实施部门</w:t>
            </w:r>
          </w:p>
        </w:tc>
        <w:tc>
          <w:tcPr>
            <w:tcW w:w="2376" w:type="dxa"/>
          </w:tcPr>
          <w:p>
            <w:pPr>
              <w:pStyle w:val="10"/>
              <w:spacing w:before="194"/>
              <w:ind w:left="221"/>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rPr>
                <w:rFonts w:ascii="黑体" w:eastAsia="黑体"/>
                <w:sz w:val="28"/>
              </w:rPr>
            </w:pPr>
            <w:r>
              <w:rPr>
                <w:rFonts w:hint="eastAsia" w:ascii="黑体" w:eastAsia="黑体"/>
                <w:sz w:val="28"/>
              </w:rPr>
              <w:t>事项类别</w:t>
            </w:r>
          </w:p>
        </w:tc>
        <w:tc>
          <w:tcPr>
            <w:tcW w:w="2277" w:type="dxa"/>
          </w:tcPr>
          <w:p>
            <w:pPr>
              <w:pStyle w:val="10"/>
              <w:spacing w:before="194"/>
              <w:ind w:left="590"/>
              <w:rPr>
                <w:rFonts w:ascii="黑体" w:eastAsia="黑体"/>
                <w:sz w:val="28"/>
              </w:rPr>
            </w:pPr>
            <w:r>
              <w:rPr>
                <w:rFonts w:hint="eastAsia" w:ascii="黑体" w:eastAsia="黑体"/>
                <w:sz w:val="28"/>
              </w:rPr>
              <w:t>调整意见</w:t>
            </w:r>
          </w:p>
        </w:tc>
        <w:tc>
          <w:tcPr>
            <w:tcW w:w="5027" w:type="dxa"/>
          </w:tcPr>
          <w:p>
            <w:pPr>
              <w:pStyle w:val="10"/>
              <w:spacing w:before="194"/>
              <w:ind w:left="1124"/>
              <w:rPr>
                <w:rFonts w:ascii="黑体" w:eastAsia="黑体"/>
                <w:sz w:val="28"/>
              </w:rPr>
            </w:pPr>
            <w:r>
              <w:rPr>
                <w:rFonts w:hint="eastAsia" w:ascii="黑体" w:eastAsia="黑体"/>
                <w:sz w:val="28"/>
              </w:rPr>
              <w:t>加强事中事后监管措施</w:t>
            </w:r>
          </w:p>
        </w:tc>
        <w:tc>
          <w:tcPr>
            <w:tcW w:w="1230" w:type="dxa"/>
          </w:tcPr>
          <w:p>
            <w:pPr>
              <w:pStyle w:val="10"/>
              <w:spacing w:before="194"/>
              <w:ind w:left="344"/>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9"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3</w:t>
            </w:r>
          </w:p>
        </w:tc>
        <w:tc>
          <w:tcPr>
            <w:tcW w:w="1336" w:type="dxa"/>
            <w:vAlign w:val="center"/>
          </w:tcPr>
          <w:p>
            <w:pPr>
              <w:pStyle w:val="10"/>
              <w:spacing w:before="178" w:line="268" w:lineRule="auto"/>
              <w:ind w:left="16" w:right="-15"/>
              <w:jc w:val="center"/>
              <w:rPr>
                <w:sz w:val="21"/>
              </w:rPr>
            </w:pPr>
            <w:r>
              <w:rPr>
                <w:rFonts w:hint="eastAsia"/>
                <w:sz w:val="21"/>
              </w:rPr>
              <w:t>区行政审批服务局</w:t>
            </w:r>
          </w:p>
        </w:tc>
        <w:tc>
          <w:tcPr>
            <w:tcW w:w="2376" w:type="dxa"/>
            <w:vAlign w:val="center"/>
          </w:tcPr>
          <w:p>
            <w:pPr>
              <w:pStyle w:val="10"/>
              <w:spacing w:before="178" w:line="268" w:lineRule="auto"/>
              <w:ind w:left="16" w:right="-15"/>
              <w:jc w:val="center"/>
              <w:rPr>
                <w:sz w:val="21"/>
              </w:rPr>
            </w:pPr>
            <w:r>
              <w:rPr>
                <w:sz w:val="21"/>
              </w:rPr>
              <w:t>直销企业服务网点方案审查</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before="178" w:line="268" w:lineRule="auto"/>
              <w:ind w:left="16" w:right="-15"/>
              <w:jc w:val="both"/>
              <w:rPr>
                <w:sz w:val="21"/>
              </w:rPr>
            </w:pPr>
            <w:r>
              <w:rPr>
                <w:sz w:val="21"/>
              </w:rPr>
              <w:t>优化调整“市县同权” 方式，将同权方式由 “直接下放”调整为 “下放实质性审核权”</w:t>
            </w:r>
          </w:p>
        </w:tc>
        <w:tc>
          <w:tcPr>
            <w:tcW w:w="5027" w:type="dxa"/>
            <w:vAlign w:val="center"/>
          </w:tcPr>
          <w:p>
            <w:pPr>
              <w:pStyle w:val="10"/>
              <w:spacing w:before="139" w:line="268" w:lineRule="auto"/>
              <w:ind w:right="41"/>
              <w:jc w:val="both"/>
              <w:rPr>
                <w:sz w:val="21"/>
              </w:rPr>
            </w:pPr>
            <w:r>
              <w:rPr>
                <w:sz w:val="21"/>
              </w:rPr>
              <w:t>调整后，市场监管部门通过以下措施加强事中事后监管：</w:t>
            </w:r>
          </w:p>
          <w:p>
            <w:pPr>
              <w:pStyle w:val="10"/>
              <w:tabs>
                <w:tab w:val="left" w:pos="331"/>
              </w:tabs>
              <w:spacing w:line="266" w:lineRule="exact"/>
              <w:jc w:val="both"/>
              <w:rPr>
                <w:sz w:val="21"/>
              </w:rPr>
            </w:pPr>
            <w:r>
              <w:rPr>
                <w:rFonts w:hint="eastAsia"/>
                <w:sz w:val="21"/>
              </w:rPr>
              <w:t>1、</w:t>
            </w:r>
            <w:r>
              <w:rPr>
                <w:sz w:val="21"/>
              </w:rPr>
              <w:t>纳入日常行业监管。</w:t>
            </w:r>
          </w:p>
          <w:p>
            <w:pPr>
              <w:pStyle w:val="10"/>
              <w:tabs>
                <w:tab w:val="left" w:pos="331"/>
              </w:tabs>
              <w:spacing w:before="31" w:line="268" w:lineRule="auto"/>
              <w:ind w:right="-15"/>
              <w:jc w:val="both"/>
              <w:rPr>
                <w:sz w:val="21"/>
              </w:rPr>
            </w:pPr>
            <w:r>
              <w:rPr>
                <w:rFonts w:hint="eastAsia"/>
                <w:spacing w:val="-13"/>
                <w:sz w:val="21"/>
              </w:rPr>
              <w:t>2、</w:t>
            </w:r>
            <w:r>
              <w:rPr>
                <w:spacing w:val="-13"/>
                <w:sz w:val="21"/>
              </w:rPr>
              <w:t xml:space="preserve">开展“双随机、一公开”监管，畅通投诉举报渠道， </w:t>
            </w:r>
            <w:r>
              <w:rPr>
                <w:sz w:val="21"/>
              </w:rPr>
              <w:t>发现违法违规行为要依法查处并向社会公开结果。</w:t>
            </w:r>
          </w:p>
          <w:p>
            <w:pPr>
              <w:pStyle w:val="10"/>
              <w:tabs>
                <w:tab w:val="left" w:pos="331"/>
              </w:tabs>
              <w:spacing w:before="31" w:line="268" w:lineRule="auto"/>
              <w:ind w:right="-15"/>
              <w:jc w:val="both"/>
              <w:rPr>
                <w:sz w:val="21"/>
              </w:rPr>
            </w:pPr>
            <w:r>
              <w:rPr>
                <w:rFonts w:hint="eastAsia"/>
                <w:spacing w:val="-3"/>
                <w:sz w:val="21"/>
              </w:rPr>
              <w:t>3、</w:t>
            </w:r>
            <w:r>
              <w:rPr>
                <w:spacing w:val="-3"/>
                <w:sz w:val="21"/>
              </w:rPr>
              <w:t>依法实施信用监管，如实记录违法失信行为，实施差异化监管等措施。</w:t>
            </w:r>
          </w:p>
        </w:tc>
        <w:tc>
          <w:tcPr>
            <w:tcW w:w="1230" w:type="dxa"/>
            <w:vAlign w:val="center"/>
          </w:tcPr>
          <w:p>
            <w:pPr>
              <w:pStyle w:val="10"/>
              <w:jc w:val="center"/>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4</w:t>
            </w:r>
          </w:p>
        </w:tc>
        <w:tc>
          <w:tcPr>
            <w:tcW w:w="1336" w:type="dxa"/>
            <w:vAlign w:val="center"/>
          </w:tcPr>
          <w:p>
            <w:pPr>
              <w:pStyle w:val="10"/>
              <w:spacing w:before="178" w:line="268" w:lineRule="auto"/>
              <w:ind w:left="16" w:right="-15"/>
              <w:jc w:val="center"/>
              <w:rPr>
                <w:sz w:val="21"/>
              </w:rPr>
            </w:pPr>
            <w:r>
              <w:rPr>
                <w:rFonts w:hint="eastAsia"/>
                <w:sz w:val="21"/>
              </w:rPr>
              <w:t>区商务和投资促进局</w:t>
            </w:r>
          </w:p>
        </w:tc>
        <w:tc>
          <w:tcPr>
            <w:tcW w:w="2376" w:type="dxa"/>
            <w:vAlign w:val="center"/>
          </w:tcPr>
          <w:p>
            <w:pPr>
              <w:pStyle w:val="10"/>
              <w:spacing w:before="178" w:line="268" w:lineRule="auto"/>
              <w:ind w:left="16" w:right="-15"/>
              <w:jc w:val="center"/>
              <w:rPr>
                <w:sz w:val="21"/>
              </w:rPr>
            </w:pPr>
            <w:r>
              <w:rPr>
                <w:sz w:val="21"/>
              </w:rPr>
              <w:t>对外劳务合作经营资格核准</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before="178" w:line="268" w:lineRule="auto"/>
              <w:ind w:left="16" w:right="-15"/>
              <w:jc w:val="both"/>
              <w:rPr>
                <w:sz w:val="21"/>
              </w:rPr>
            </w:pPr>
            <w:r>
              <w:rPr>
                <w:sz w:val="21"/>
              </w:rPr>
              <w:t>优化调整“市县同权” 方式，将同权方式由 “下放实质性审核权” 调整为“服务窗口前 移”</w:t>
            </w:r>
          </w:p>
        </w:tc>
        <w:tc>
          <w:tcPr>
            <w:tcW w:w="5027" w:type="dxa"/>
            <w:vAlign w:val="center"/>
          </w:tcPr>
          <w:p>
            <w:pPr>
              <w:pStyle w:val="10"/>
              <w:spacing w:before="178" w:line="268" w:lineRule="auto"/>
              <w:ind w:left="16" w:right="-15"/>
              <w:jc w:val="center"/>
              <w:rPr>
                <w:sz w:val="21"/>
              </w:rPr>
            </w:pPr>
          </w:p>
        </w:tc>
        <w:tc>
          <w:tcPr>
            <w:tcW w:w="1230" w:type="dxa"/>
            <w:vAlign w:val="center"/>
          </w:tcPr>
          <w:p>
            <w:pPr>
              <w:pStyle w:val="10"/>
              <w:jc w:val="center"/>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783" w:type="dxa"/>
            <w:gridSpan w:val="7"/>
          </w:tcPr>
          <w:p>
            <w:pPr>
              <w:pStyle w:val="10"/>
              <w:spacing w:before="126"/>
              <w:rPr>
                <w:rFonts w:ascii="楷体_GB2312" w:eastAsia="楷体_GB2312"/>
                <w:sz w:val="28"/>
              </w:rPr>
            </w:pPr>
            <w:r>
              <w:rPr>
                <w:rFonts w:hint="eastAsia" w:ascii="楷体_GB2312" w:eastAsia="楷体_GB2312"/>
                <w:sz w:val="28"/>
              </w:rPr>
              <w:t>四、直接下放的行政权力事项（9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1</w:t>
            </w:r>
          </w:p>
        </w:tc>
        <w:tc>
          <w:tcPr>
            <w:tcW w:w="1336" w:type="dxa"/>
            <w:vMerge w:val="restart"/>
            <w:vAlign w:val="center"/>
          </w:tcPr>
          <w:p>
            <w:pPr>
              <w:pStyle w:val="10"/>
              <w:spacing w:before="178" w:line="268" w:lineRule="auto"/>
              <w:ind w:left="16" w:right="-15"/>
              <w:jc w:val="center"/>
              <w:rPr>
                <w:sz w:val="21"/>
              </w:rPr>
            </w:pPr>
            <w:r>
              <w:rPr>
                <w:rFonts w:hint="eastAsia"/>
                <w:sz w:val="21"/>
              </w:rPr>
              <w:t>区</w:t>
            </w:r>
            <w:r>
              <w:rPr>
                <w:sz w:val="21"/>
              </w:rPr>
              <w:t>交通运输</w:t>
            </w:r>
            <w:r>
              <w:rPr>
                <w:rFonts w:hint="eastAsia"/>
                <w:sz w:val="21"/>
              </w:rPr>
              <w:t>局</w:t>
            </w:r>
          </w:p>
        </w:tc>
        <w:tc>
          <w:tcPr>
            <w:tcW w:w="2376" w:type="dxa"/>
            <w:vAlign w:val="center"/>
          </w:tcPr>
          <w:p>
            <w:pPr>
              <w:pStyle w:val="10"/>
              <w:spacing w:before="178" w:line="268" w:lineRule="auto"/>
              <w:ind w:left="16" w:right="-15"/>
              <w:jc w:val="center"/>
              <w:rPr>
                <w:sz w:val="21"/>
              </w:rPr>
            </w:pPr>
            <w:r>
              <w:rPr>
                <w:sz w:val="21"/>
              </w:rPr>
              <w:t>对公路的监督检查(普通国省道)</w:t>
            </w:r>
          </w:p>
        </w:tc>
        <w:tc>
          <w:tcPr>
            <w:tcW w:w="892" w:type="dxa"/>
            <w:vAlign w:val="center"/>
          </w:tcPr>
          <w:p>
            <w:pPr>
              <w:pStyle w:val="10"/>
              <w:spacing w:before="36" w:line="300" w:lineRule="atLeast"/>
              <w:ind w:left="247" w:right="217"/>
              <w:jc w:val="center"/>
              <w:rPr>
                <w:sz w:val="21"/>
              </w:rPr>
            </w:pPr>
            <w:r>
              <w:rPr>
                <w:sz w:val="21"/>
              </w:rPr>
              <w:t>行政检查</w:t>
            </w:r>
          </w:p>
        </w:tc>
        <w:tc>
          <w:tcPr>
            <w:tcW w:w="2277" w:type="dxa"/>
            <w:vMerge w:val="restart"/>
            <w:vAlign w:val="center"/>
          </w:tcPr>
          <w:p>
            <w:pPr>
              <w:pStyle w:val="10"/>
              <w:spacing w:line="268" w:lineRule="auto"/>
              <w:ind w:left="119" w:right="67"/>
              <w:jc w:val="both"/>
              <w:rPr>
                <w:sz w:val="21"/>
              </w:rPr>
            </w:pPr>
            <w:r>
              <w:rPr>
                <w:spacing w:val="-5"/>
                <w:sz w:val="21"/>
              </w:rPr>
              <w:t>除涉及高速公路的、跨</w:t>
            </w:r>
            <w:r>
              <w:rPr>
                <w:spacing w:val="18"/>
                <w:sz w:val="21"/>
              </w:rPr>
              <w:t>区域的以及重大的执</w:t>
            </w:r>
            <w:r>
              <w:rPr>
                <w:spacing w:val="-6"/>
                <w:sz w:val="21"/>
              </w:rPr>
              <w:t>法案件外，直接</w:t>
            </w:r>
            <w:r>
              <w:rPr>
                <w:rFonts w:hint="eastAsia"/>
                <w:spacing w:val="-6"/>
                <w:sz w:val="21"/>
              </w:rPr>
              <w:t>由</w:t>
            </w:r>
            <w:r>
              <w:rPr>
                <w:spacing w:val="-20"/>
                <w:sz w:val="21"/>
              </w:rPr>
              <w:t>区</w:t>
            </w:r>
            <w:r>
              <w:rPr>
                <w:sz w:val="21"/>
              </w:rPr>
              <w:t>交通运输主管部门实施</w:t>
            </w:r>
          </w:p>
        </w:tc>
        <w:tc>
          <w:tcPr>
            <w:tcW w:w="6257" w:type="dxa"/>
            <w:gridSpan w:val="2"/>
            <w:vMerge w:val="restart"/>
            <w:vAlign w:val="center"/>
          </w:tcPr>
          <w:p>
            <w:pPr>
              <w:pStyle w:val="10"/>
              <w:spacing w:before="30"/>
              <w:ind w:left="119"/>
              <w:rPr>
                <w:sz w:val="21"/>
              </w:rPr>
            </w:pPr>
            <w:r>
              <w:rPr>
                <w:sz w:val="21"/>
              </w:rPr>
              <w:t>备注:</w:t>
            </w:r>
          </w:p>
          <w:p>
            <w:pPr>
              <w:pStyle w:val="10"/>
              <w:spacing w:before="31" w:line="268" w:lineRule="auto"/>
              <w:ind w:left="119" w:right="76"/>
              <w:jc w:val="both"/>
              <w:rPr>
                <w:sz w:val="21"/>
              </w:rPr>
            </w:pPr>
            <w:r>
              <w:rPr>
                <w:spacing w:val="-13"/>
                <w:sz w:val="21"/>
              </w:rPr>
              <w:t>1</w:t>
            </w:r>
            <w:r>
              <w:rPr>
                <w:spacing w:val="-4"/>
                <w:sz w:val="21"/>
              </w:rPr>
              <w:t>.《山东省公路路政条例</w:t>
            </w:r>
            <w:r>
              <w:rPr>
                <w:spacing w:val="-130"/>
                <w:sz w:val="21"/>
              </w:rPr>
              <w:t>》</w:t>
            </w:r>
            <w:r>
              <w:rPr>
                <w:sz w:val="21"/>
              </w:rPr>
              <w:t>（2020</w:t>
            </w:r>
            <w:r>
              <w:rPr>
                <w:spacing w:val="-38"/>
                <w:sz w:val="21"/>
              </w:rPr>
              <w:t xml:space="preserve"> 年 </w:t>
            </w:r>
            <w:r>
              <w:rPr>
                <w:sz w:val="21"/>
              </w:rPr>
              <w:t>7</w:t>
            </w:r>
            <w:r>
              <w:rPr>
                <w:spacing w:val="-38"/>
                <w:sz w:val="21"/>
              </w:rPr>
              <w:t xml:space="preserve"> 月 </w:t>
            </w:r>
            <w:r>
              <w:rPr>
                <w:sz w:val="21"/>
              </w:rPr>
              <w:t>24</w:t>
            </w:r>
            <w:r>
              <w:rPr>
                <w:spacing w:val="-14"/>
                <w:sz w:val="21"/>
              </w:rPr>
              <w:t xml:space="preserve"> 日修订</w:t>
            </w:r>
            <w:r>
              <w:rPr>
                <w:spacing w:val="-26"/>
                <w:sz w:val="21"/>
              </w:rPr>
              <w:t>）</w:t>
            </w:r>
            <w:r>
              <w:rPr>
                <w:spacing w:val="-5"/>
                <w:sz w:val="21"/>
              </w:rPr>
              <w:t xml:space="preserve">第四条：县级以上交通运输主管部门主管本行政区域内的公路路政管理工作。 </w:t>
            </w:r>
            <w:r>
              <w:rPr>
                <w:spacing w:val="-25"/>
                <w:sz w:val="21"/>
              </w:rPr>
              <w:t>2</w:t>
            </w:r>
            <w:r>
              <w:rPr>
                <w:spacing w:val="-6"/>
                <w:sz w:val="21"/>
              </w:rPr>
              <w:t>.《中共枣庄市委枣庄市人民政府关于枣庄市市级机构改革的实施</w:t>
            </w:r>
            <w:r>
              <w:rPr>
                <w:spacing w:val="-44"/>
                <w:sz w:val="21"/>
              </w:rPr>
              <w:t>意见》</w:t>
            </w:r>
            <w:r>
              <w:rPr>
                <w:sz w:val="21"/>
              </w:rPr>
              <w:t>（</w:t>
            </w:r>
            <w:r>
              <w:rPr>
                <w:spacing w:val="-10"/>
                <w:sz w:val="21"/>
              </w:rPr>
              <w:t>枣发〔</w:t>
            </w:r>
            <w:r>
              <w:rPr>
                <w:sz w:val="21"/>
              </w:rPr>
              <w:t>2018</w:t>
            </w:r>
            <w:r>
              <w:rPr>
                <w:spacing w:val="-27"/>
                <w:sz w:val="21"/>
              </w:rPr>
              <w:t>〕</w:t>
            </w:r>
            <w:r>
              <w:rPr>
                <w:sz w:val="21"/>
              </w:rPr>
              <w:t>39</w:t>
            </w:r>
            <w:r>
              <w:rPr>
                <w:spacing w:val="-27"/>
                <w:sz w:val="21"/>
              </w:rPr>
              <w:t xml:space="preserve"> 号</w:t>
            </w:r>
            <w:r>
              <w:rPr>
                <w:spacing w:val="-130"/>
                <w:sz w:val="21"/>
              </w:rPr>
              <w:t>）</w:t>
            </w:r>
            <w:r>
              <w:rPr>
                <w:spacing w:val="-2"/>
                <w:sz w:val="21"/>
              </w:rPr>
              <w:t>“按照深化扩权强县改革促进县域经济高质量发展的有关要求，涉及区</w:t>
            </w:r>
            <w:r>
              <w:rPr>
                <w:sz w:val="21"/>
              </w:rPr>
              <w:t>（市</w:t>
            </w:r>
            <w:r>
              <w:rPr>
                <w:spacing w:val="-10"/>
                <w:sz w:val="21"/>
              </w:rPr>
              <w:t>）</w:t>
            </w:r>
            <w:r>
              <w:rPr>
                <w:spacing w:val="-5"/>
                <w:sz w:val="21"/>
              </w:rPr>
              <w:t>有关国土、人防、公路等职</w:t>
            </w:r>
            <w:r>
              <w:rPr>
                <w:spacing w:val="-7"/>
                <w:sz w:val="21"/>
              </w:rPr>
              <w:t>能和机构，原则上实行属地管理”。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45" w:type="dxa"/>
            <w:vAlign w:val="center"/>
          </w:tcPr>
          <w:p>
            <w:pPr>
              <w:pStyle w:val="10"/>
              <w:spacing w:before="129"/>
              <w:ind w:left="196" w:right="180"/>
              <w:jc w:val="center"/>
              <w:rPr>
                <w:rFonts w:hint="eastAsia" w:eastAsia="宋体"/>
                <w:sz w:val="21"/>
                <w:lang w:eastAsia="zh-CN"/>
              </w:rPr>
            </w:pPr>
            <w:r>
              <w:rPr>
                <w:rFonts w:hint="eastAsia"/>
                <w:sz w:val="21"/>
                <w:lang w:val="en-US" w:eastAsia="zh-CN"/>
              </w:rPr>
              <w:t>2</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center"/>
              <w:rPr>
                <w:sz w:val="21"/>
              </w:rPr>
            </w:pPr>
            <w:r>
              <w:rPr>
                <w:sz w:val="21"/>
              </w:rPr>
              <w:t>对损害公路、公路附属设施危及公路安全的处罚(普通国省道)</w:t>
            </w:r>
          </w:p>
        </w:tc>
        <w:tc>
          <w:tcPr>
            <w:tcW w:w="892" w:type="dxa"/>
            <w:vAlign w:val="center"/>
          </w:tcPr>
          <w:p>
            <w:pPr>
              <w:pStyle w:val="10"/>
              <w:spacing w:before="1" w:line="268" w:lineRule="auto"/>
              <w:ind w:left="247" w:right="217"/>
              <w:jc w:val="center"/>
              <w:rPr>
                <w:sz w:val="21"/>
              </w:rPr>
            </w:pPr>
            <w:r>
              <w:rPr>
                <w:sz w:val="21"/>
              </w:rPr>
              <w:t>行政处罚</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645" w:type="dxa"/>
            <w:vAlign w:val="center"/>
          </w:tcPr>
          <w:p>
            <w:pPr>
              <w:pStyle w:val="10"/>
              <w:spacing w:before="1"/>
              <w:ind w:left="196" w:right="180"/>
              <w:jc w:val="center"/>
              <w:rPr>
                <w:rFonts w:hint="eastAsia" w:eastAsia="宋体"/>
                <w:sz w:val="21"/>
                <w:lang w:eastAsia="zh-CN"/>
              </w:rPr>
            </w:pPr>
            <w:r>
              <w:rPr>
                <w:rFonts w:hint="eastAsia"/>
                <w:sz w:val="21"/>
                <w:lang w:val="en-US" w:eastAsia="zh-CN"/>
              </w:rPr>
              <w:t>3</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center"/>
              <w:rPr>
                <w:sz w:val="21"/>
              </w:rPr>
            </w:pPr>
            <w:r>
              <w:rPr>
                <w:sz w:val="21"/>
              </w:rPr>
              <w:t>对货运车辆超限运输的处罚(普通国省道)</w:t>
            </w:r>
          </w:p>
        </w:tc>
        <w:tc>
          <w:tcPr>
            <w:tcW w:w="892" w:type="dxa"/>
            <w:vAlign w:val="center"/>
          </w:tcPr>
          <w:p>
            <w:pPr>
              <w:pStyle w:val="10"/>
              <w:spacing w:before="27" w:line="300" w:lineRule="atLeast"/>
              <w:ind w:left="247" w:right="217"/>
              <w:jc w:val="center"/>
              <w:rPr>
                <w:sz w:val="21"/>
              </w:rPr>
            </w:pPr>
            <w:r>
              <w:rPr>
                <w:sz w:val="21"/>
              </w:rPr>
              <w:t>行政处罚</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45" w:type="dxa"/>
          </w:tcPr>
          <w:p>
            <w:pPr>
              <w:pStyle w:val="10"/>
              <w:spacing w:before="89" w:line="201" w:lineRule="auto"/>
              <w:ind w:left="182" w:right="162"/>
              <w:rPr>
                <w:rFonts w:ascii="黑体" w:eastAsia="黑体"/>
                <w:sz w:val="28"/>
              </w:rPr>
            </w:pPr>
            <w:r>
              <w:rPr>
                <w:rFonts w:hint="eastAsia" w:ascii="黑体" w:eastAsia="黑体"/>
                <w:sz w:val="28"/>
              </w:rPr>
              <w:t>序号</w:t>
            </w:r>
          </w:p>
        </w:tc>
        <w:tc>
          <w:tcPr>
            <w:tcW w:w="1336" w:type="dxa"/>
          </w:tcPr>
          <w:p>
            <w:pPr>
              <w:pStyle w:val="10"/>
              <w:spacing w:before="194"/>
              <w:ind w:left="120"/>
              <w:rPr>
                <w:rFonts w:ascii="黑体" w:eastAsia="黑体"/>
                <w:sz w:val="28"/>
              </w:rPr>
            </w:pPr>
            <w:r>
              <w:rPr>
                <w:rFonts w:hint="eastAsia" w:ascii="黑体" w:eastAsia="黑体"/>
                <w:sz w:val="28"/>
              </w:rPr>
              <w:t>实施部门</w:t>
            </w:r>
          </w:p>
        </w:tc>
        <w:tc>
          <w:tcPr>
            <w:tcW w:w="2376" w:type="dxa"/>
          </w:tcPr>
          <w:p>
            <w:pPr>
              <w:pStyle w:val="10"/>
              <w:spacing w:before="194"/>
              <w:ind w:left="221"/>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rPr>
                <w:rFonts w:ascii="黑体" w:eastAsia="黑体"/>
                <w:sz w:val="28"/>
              </w:rPr>
            </w:pPr>
            <w:r>
              <w:rPr>
                <w:rFonts w:hint="eastAsia" w:ascii="黑体" w:eastAsia="黑体"/>
                <w:sz w:val="28"/>
              </w:rPr>
              <w:t>事项类别</w:t>
            </w:r>
          </w:p>
        </w:tc>
        <w:tc>
          <w:tcPr>
            <w:tcW w:w="2277" w:type="dxa"/>
          </w:tcPr>
          <w:p>
            <w:pPr>
              <w:pStyle w:val="10"/>
              <w:spacing w:before="194"/>
              <w:ind w:left="590"/>
              <w:rPr>
                <w:rFonts w:ascii="黑体" w:eastAsia="黑体"/>
                <w:sz w:val="28"/>
              </w:rPr>
            </w:pPr>
            <w:r>
              <w:rPr>
                <w:rFonts w:hint="eastAsia" w:ascii="黑体" w:eastAsia="黑体"/>
                <w:sz w:val="28"/>
              </w:rPr>
              <w:t>调整意见</w:t>
            </w:r>
          </w:p>
        </w:tc>
        <w:tc>
          <w:tcPr>
            <w:tcW w:w="6257" w:type="dxa"/>
            <w:gridSpan w:val="2"/>
          </w:tcPr>
          <w:p>
            <w:pPr>
              <w:pStyle w:val="10"/>
              <w:spacing w:before="194"/>
              <w:ind w:left="2838" w:right="2800"/>
              <w:jc w:val="center"/>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645" w:type="dxa"/>
            <w:vAlign w:val="center"/>
          </w:tcPr>
          <w:p>
            <w:pPr>
              <w:pStyle w:val="10"/>
              <w:spacing w:before="160"/>
              <w:ind w:left="196" w:right="180"/>
              <w:jc w:val="center"/>
              <w:rPr>
                <w:rFonts w:hint="eastAsia" w:eastAsia="宋体"/>
                <w:sz w:val="21"/>
                <w:lang w:eastAsia="zh-CN"/>
              </w:rPr>
            </w:pPr>
            <w:r>
              <w:rPr>
                <w:rFonts w:hint="eastAsia"/>
                <w:sz w:val="21"/>
                <w:lang w:val="en-US" w:eastAsia="zh-CN"/>
              </w:rPr>
              <w:t>4</w:t>
            </w:r>
          </w:p>
        </w:tc>
        <w:tc>
          <w:tcPr>
            <w:tcW w:w="1336" w:type="dxa"/>
            <w:vMerge w:val="restart"/>
            <w:vAlign w:val="center"/>
          </w:tcPr>
          <w:p>
            <w:pPr>
              <w:pStyle w:val="10"/>
              <w:spacing w:before="178" w:line="268" w:lineRule="auto"/>
              <w:ind w:left="16" w:right="-15"/>
              <w:jc w:val="center"/>
              <w:rPr>
                <w:sz w:val="21"/>
              </w:rPr>
            </w:pPr>
            <w:r>
              <w:rPr>
                <w:rFonts w:hint="eastAsia"/>
                <w:sz w:val="21"/>
              </w:rPr>
              <w:t>区</w:t>
            </w:r>
            <w:r>
              <w:rPr>
                <w:sz w:val="21"/>
              </w:rPr>
              <w:t>交通运输</w:t>
            </w:r>
            <w:r>
              <w:rPr>
                <w:rFonts w:hint="eastAsia"/>
                <w:sz w:val="21"/>
              </w:rPr>
              <w:t>局</w:t>
            </w:r>
          </w:p>
        </w:tc>
        <w:tc>
          <w:tcPr>
            <w:tcW w:w="2376" w:type="dxa"/>
            <w:vAlign w:val="center"/>
          </w:tcPr>
          <w:p>
            <w:pPr>
              <w:pStyle w:val="10"/>
              <w:spacing w:before="116" w:line="268" w:lineRule="auto"/>
              <w:ind w:left="150" w:right="118"/>
              <w:jc w:val="both"/>
              <w:rPr>
                <w:sz w:val="21"/>
              </w:rPr>
            </w:pPr>
            <w:r>
              <w:rPr>
                <w:sz w:val="21"/>
              </w:rPr>
              <w:t>对违反公路建筑控制区管理的处罚 (普通国省道)</w:t>
            </w:r>
          </w:p>
        </w:tc>
        <w:tc>
          <w:tcPr>
            <w:tcW w:w="892" w:type="dxa"/>
            <w:vAlign w:val="center"/>
          </w:tcPr>
          <w:p>
            <w:pPr>
              <w:pStyle w:val="10"/>
              <w:spacing w:line="268" w:lineRule="auto"/>
              <w:ind w:left="247" w:right="217"/>
              <w:jc w:val="center"/>
              <w:rPr>
                <w:sz w:val="21"/>
              </w:rPr>
            </w:pPr>
            <w:r>
              <w:rPr>
                <w:sz w:val="21"/>
              </w:rPr>
              <w:t>行政处罚</w:t>
            </w:r>
          </w:p>
        </w:tc>
        <w:tc>
          <w:tcPr>
            <w:tcW w:w="2277" w:type="dxa"/>
            <w:vMerge w:val="restart"/>
            <w:vAlign w:val="center"/>
          </w:tcPr>
          <w:p>
            <w:pPr>
              <w:pStyle w:val="10"/>
              <w:spacing w:line="268" w:lineRule="auto"/>
              <w:ind w:left="119" w:right="88"/>
              <w:jc w:val="both"/>
              <w:rPr>
                <w:sz w:val="21"/>
              </w:rPr>
            </w:pPr>
            <w:r>
              <w:rPr>
                <w:spacing w:val="-7"/>
                <w:sz w:val="21"/>
              </w:rPr>
              <w:t>除涉及高速公路的、跨</w:t>
            </w:r>
            <w:r>
              <w:rPr>
                <w:sz w:val="21"/>
              </w:rPr>
              <w:t>区域的以及重大的执</w:t>
            </w:r>
            <w:r>
              <w:rPr>
                <w:spacing w:val="-7"/>
                <w:sz w:val="21"/>
              </w:rPr>
              <w:t>法案件外，直接</w:t>
            </w:r>
            <w:r>
              <w:rPr>
                <w:rFonts w:hint="eastAsia"/>
                <w:spacing w:val="-7"/>
                <w:sz w:val="21"/>
              </w:rPr>
              <w:t>由</w:t>
            </w:r>
            <w:r>
              <w:rPr>
                <w:spacing w:val="-20"/>
                <w:sz w:val="21"/>
              </w:rPr>
              <w:t>区</w:t>
            </w:r>
            <w:r>
              <w:rPr>
                <w:spacing w:val="-3"/>
                <w:sz w:val="21"/>
              </w:rPr>
              <w:t>交通运输主管</w:t>
            </w:r>
            <w:r>
              <w:rPr>
                <w:sz w:val="21"/>
              </w:rPr>
              <w:t>部门实施</w:t>
            </w:r>
          </w:p>
        </w:tc>
        <w:tc>
          <w:tcPr>
            <w:tcW w:w="6257" w:type="dxa"/>
            <w:gridSpan w:val="2"/>
            <w:vMerge w:val="restart"/>
            <w:vAlign w:val="center"/>
          </w:tcPr>
          <w:p>
            <w:pPr>
              <w:pStyle w:val="10"/>
              <w:spacing w:before="10"/>
              <w:jc w:val="center"/>
            </w:pPr>
          </w:p>
          <w:p>
            <w:pPr>
              <w:pStyle w:val="10"/>
              <w:spacing w:line="268" w:lineRule="auto"/>
              <w:ind w:left="119" w:right="76"/>
              <w:jc w:val="both"/>
              <w:rPr>
                <w:sz w:val="21"/>
              </w:rPr>
            </w:pPr>
            <w:r>
              <w:rPr>
                <w:spacing w:val="-13"/>
                <w:sz w:val="21"/>
              </w:rPr>
              <w:t>1</w:t>
            </w:r>
            <w:r>
              <w:rPr>
                <w:spacing w:val="-4"/>
                <w:sz w:val="21"/>
              </w:rPr>
              <w:t>.《山东省公路路政条例</w:t>
            </w:r>
            <w:r>
              <w:rPr>
                <w:spacing w:val="-130"/>
                <w:sz w:val="21"/>
              </w:rPr>
              <w:t>》</w:t>
            </w:r>
            <w:r>
              <w:rPr>
                <w:sz w:val="21"/>
              </w:rPr>
              <w:t>（2020</w:t>
            </w:r>
            <w:r>
              <w:rPr>
                <w:spacing w:val="-38"/>
                <w:sz w:val="21"/>
              </w:rPr>
              <w:t xml:space="preserve"> 年 </w:t>
            </w:r>
            <w:r>
              <w:rPr>
                <w:sz w:val="21"/>
              </w:rPr>
              <w:t>7</w:t>
            </w:r>
            <w:r>
              <w:rPr>
                <w:spacing w:val="-38"/>
                <w:sz w:val="21"/>
              </w:rPr>
              <w:t xml:space="preserve"> 月 </w:t>
            </w:r>
            <w:r>
              <w:rPr>
                <w:sz w:val="21"/>
              </w:rPr>
              <w:t>24</w:t>
            </w:r>
            <w:r>
              <w:rPr>
                <w:spacing w:val="-14"/>
                <w:sz w:val="21"/>
              </w:rPr>
              <w:t xml:space="preserve"> 日修订</w:t>
            </w:r>
            <w:r>
              <w:rPr>
                <w:spacing w:val="-26"/>
                <w:sz w:val="21"/>
              </w:rPr>
              <w:t>）</w:t>
            </w:r>
            <w:r>
              <w:rPr>
                <w:spacing w:val="-5"/>
                <w:sz w:val="21"/>
              </w:rPr>
              <w:t xml:space="preserve">第四条：县级以上交通运输主管部门主管本行政区域内的公路路政管理工作。 </w:t>
            </w:r>
            <w:r>
              <w:rPr>
                <w:spacing w:val="-25"/>
                <w:sz w:val="21"/>
              </w:rPr>
              <w:t>2</w:t>
            </w:r>
            <w:r>
              <w:rPr>
                <w:spacing w:val="-6"/>
                <w:sz w:val="21"/>
              </w:rPr>
              <w:t>.《中共枣庄市委枣庄市人民政府关于枣庄市市级机构改革的实施</w:t>
            </w:r>
            <w:r>
              <w:rPr>
                <w:spacing w:val="-44"/>
                <w:sz w:val="21"/>
              </w:rPr>
              <w:t>意见》</w:t>
            </w:r>
            <w:r>
              <w:rPr>
                <w:sz w:val="21"/>
              </w:rPr>
              <w:t>（</w:t>
            </w:r>
            <w:r>
              <w:rPr>
                <w:spacing w:val="-10"/>
                <w:sz w:val="21"/>
              </w:rPr>
              <w:t>枣发〔</w:t>
            </w:r>
            <w:r>
              <w:rPr>
                <w:sz w:val="21"/>
              </w:rPr>
              <w:t>2018</w:t>
            </w:r>
            <w:r>
              <w:rPr>
                <w:spacing w:val="-27"/>
                <w:sz w:val="21"/>
              </w:rPr>
              <w:t>〕</w:t>
            </w:r>
            <w:r>
              <w:rPr>
                <w:sz w:val="21"/>
              </w:rPr>
              <w:t>39</w:t>
            </w:r>
            <w:r>
              <w:rPr>
                <w:spacing w:val="-27"/>
                <w:sz w:val="21"/>
              </w:rPr>
              <w:t xml:space="preserve"> 号</w:t>
            </w:r>
            <w:r>
              <w:rPr>
                <w:spacing w:val="-130"/>
                <w:sz w:val="21"/>
              </w:rPr>
              <w:t>）</w:t>
            </w:r>
            <w:r>
              <w:rPr>
                <w:spacing w:val="-2"/>
                <w:sz w:val="21"/>
              </w:rPr>
              <w:t>“按照深化扩权强县改革促进县域经济高质量发展的有关要求，涉及区</w:t>
            </w:r>
            <w:r>
              <w:rPr>
                <w:sz w:val="21"/>
              </w:rPr>
              <w:t>（市</w:t>
            </w:r>
            <w:r>
              <w:rPr>
                <w:spacing w:val="-10"/>
                <w:sz w:val="21"/>
              </w:rPr>
              <w:t>）</w:t>
            </w:r>
            <w:r>
              <w:rPr>
                <w:spacing w:val="-5"/>
                <w:sz w:val="21"/>
              </w:rPr>
              <w:t>有关国土、人防、公路等职</w:t>
            </w:r>
            <w:r>
              <w:rPr>
                <w:spacing w:val="-7"/>
                <w:sz w:val="21"/>
              </w:rPr>
              <w:t>能和机构，原则上实行属地管理”。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645" w:type="dxa"/>
            <w:vAlign w:val="center"/>
          </w:tcPr>
          <w:p>
            <w:pPr>
              <w:pStyle w:val="10"/>
              <w:spacing w:before="153"/>
              <w:ind w:left="196" w:right="180"/>
              <w:jc w:val="center"/>
              <w:rPr>
                <w:rFonts w:hint="eastAsia" w:eastAsia="宋体"/>
                <w:sz w:val="21"/>
                <w:lang w:eastAsia="zh-CN"/>
              </w:rPr>
            </w:pPr>
            <w:r>
              <w:rPr>
                <w:rFonts w:hint="eastAsia"/>
                <w:sz w:val="21"/>
                <w:lang w:val="en-US" w:eastAsia="zh-CN"/>
              </w:rPr>
              <w:t>5</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both"/>
              <w:rPr>
                <w:sz w:val="21"/>
              </w:rPr>
            </w:pPr>
            <w:r>
              <w:rPr>
                <w:sz w:val="21"/>
              </w:rPr>
              <w:t>对涉路工程建设单位未按照许可要求组织建设的处罚(普通国省道)</w:t>
            </w:r>
          </w:p>
        </w:tc>
        <w:tc>
          <w:tcPr>
            <w:tcW w:w="892" w:type="dxa"/>
            <w:vAlign w:val="center"/>
          </w:tcPr>
          <w:p>
            <w:pPr>
              <w:pStyle w:val="10"/>
              <w:spacing w:line="268" w:lineRule="auto"/>
              <w:ind w:left="247" w:right="217"/>
              <w:jc w:val="center"/>
              <w:rPr>
                <w:sz w:val="21"/>
              </w:rPr>
            </w:pPr>
            <w:r>
              <w:rPr>
                <w:sz w:val="21"/>
              </w:rPr>
              <w:t>行政处罚</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6</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both"/>
              <w:rPr>
                <w:sz w:val="21"/>
              </w:rPr>
            </w:pPr>
            <w:r>
              <w:rPr>
                <w:sz w:val="21"/>
              </w:rPr>
              <w:t>对造成公路、公路附属设施损坏，拒不接受公路管理机构现场调查处理的车辆、工具的扣留(普通国省道)</w:t>
            </w:r>
          </w:p>
        </w:tc>
        <w:tc>
          <w:tcPr>
            <w:tcW w:w="892" w:type="dxa"/>
            <w:vAlign w:val="center"/>
          </w:tcPr>
          <w:p>
            <w:pPr>
              <w:pStyle w:val="10"/>
              <w:spacing w:before="1" w:line="268" w:lineRule="auto"/>
              <w:ind w:left="247" w:right="217"/>
              <w:jc w:val="center"/>
              <w:rPr>
                <w:sz w:val="21"/>
              </w:rPr>
            </w:pPr>
            <w:r>
              <w:rPr>
                <w:sz w:val="21"/>
              </w:rPr>
              <w:t>行政强制</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645" w:type="dxa"/>
            <w:vAlign w:val="center"/>
          </w:tcPr>
          <w:p>
            <w:pPr>
              <w:pStyle w:val="10"/>
              <w:spacing w:before="1"/>
              <w:ind w:left="196" w:right="180"/>
              <w:jc w:val="center"/>
              <w:rPr>
                <w:rFonts w:hint="eastAsia" w:eastAsia="宋体"/>
                <w:sz w:val="21"/>
                <w:lang w:eastAsia="zh-CN"/>
              </w:rPr>
            </w:pPr>
            <w:r>
              <w:rPr>
                <w:rFonts w:hint="eastAsia"/>
                <w:sz w:val="21"/>
                <w:lang w:val="en-US" w:eastAsia="zh-CN"/>
              </w:rPr>
              <w:t>7</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both"/>
              <w:rPr>
                <w:sz w:val="21"/>
              </w:rPr>
            </w:pPr>
            <w:r>
              <w:rPr>
                <w:sz w:val="21"/>
              </w:rPr>
              <w:t>对在公路用地范围内擅自设置的非公路标志的拆除(普通国省道)</w:t>
            </w:r>
          </w:p>
        </w:tc>
        <w:tc>
          <w:tcPr>
            <w:tcW w:w="892" w:type="dxa"/>
            <w:vAlign w:val="center"/>
          </w:tcPr>
          <w:p>
            <w:pPr>
              <w:pStyle w:val="10"/>
              <w:spacing w:before="1" w:line="268" w:lineRule="auto"/>
              <w:ind w:left="247" w:right="217"/>
              <w:jc w:val="center"/>
              <w:rPr>
                <w:sz w:val="21"/>
              </w:rPr>
            </w:pPr>
            <w:r>
              <w:rPr>
                <w:sz w:val="21"/>
              </w:rPr>
              <w:t>行政强制</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8</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both"/>
              <w:rPr>
                <w:sz w:val="21"/>
              </w:rPr>
            </w:pPr>
            <w:r>
              <w:rPr>
                <w:sz w:val="21"/>
              </w:rPr>
              <w:t>对建筑物、地面构筑物或者擅自埋设管线、电缆等设施拆除(普通国省道)</w:t>
            </w:r>
          </w:p>
        </w:tc>
        <w:tc>
          <w:tcPr>
            <w:tcW w:w="892" w:type="dxa"/>
            <w:vAlign w:val="center"/>
          </w:tcPr>
          <w:p>
            <w:pPr>
              <w:pStyle w:val="10"/>
              <w:spacing w:before="157" w:line="268" w:lineRule="auto"/>
              <w:ind w:left="247" w:right="217"/>
              <w:jc w:val="center"/>
              <w:rPr>
                <w:sz w:val="21"/>
              </w:rPr>
            </w:pPr>
            <w:r>
              <w:rPr>
                <w:sz w:val="21"/>
              </w:rPr>
              <w:t>行政强制</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9</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both"/>
              <w:rPr>
                <w:sz w:val="21"/>
              </w:rPr>
            </w:pPr>
            <w:r>
              <w:rPr>
                <w:sz w:val="21"/>
              </w:rPr>
              <w:t>公路路产损坏责任认定(普通国省道)</w:t>
            </w:r>
          </w:p>
        </w:tc>
        <w:tc>
          <w:tcPr>
            <w:tcW w:w="892" w:type="dxa"/>
            <w:vAlign w:val="center"/>
          </w:tcPr>
          <w:p>
            <w:pPr>
              <w:pStyle w:val="10"/>
              <w:spacing w:before="175" w:line="268" w:lineRule="auto"/>
              <w:ind w:left="247" w:right="217"/>
              <w:jc w:val="center"/>
              <w:rPr>
                <w:sz w:val="21"/>
              </w:rPr>
            </w:pPr>
            <w:r>
              <w:rPr>
                <w:sz w:val="21"/>
              </w:rPr>
              <w:t>行政确认</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bl>
    <w:p>
      <w:pPr>
        <w:rPr>
          <w:sz w:val="20"/>
        </w:rPr>
      </w:pPr>
    </w:p>
    <w:sectPr>
      <w:pgSz w:w="16840" w:h="11910" w:orient="landscape"/>
      <w:pgMar w:top="1100" w:right="2404" w:bottom="624" w:left="1400" w:header="720" w:footer="720" w:gutter="0"/>
      <w:pgNumType w:fmt="numberInDash"/>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537B"/>
    <w:multiLevelType w:val="multilevel"/>
    <w:tmpl w:val="2A8F537B"/>
    <w:lvl w:ilvl="0" w:tentative="0">
      <w:start w:val="1"/>
      <w:numFmt w:val="decimal"/>
      <w:lvlText w:val="%1."/>
      <w:lvlJc w:val="left"/>
      <w:pPr>
        <w:ind w:left="119" w:hanging="204"/>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610" w:hanging="204"/>
      </w:pPr>
      <w:rPr>
        <w:rFonts w:hint="default"/>
        <w:lang w:val="zh-CN" w:eastAsia="zh-CN" w:bidi="zh-CN"/>
      </w:rPr>
    </w:lvl>
    <w:lvl w:ilvl="2" w:tentative="0">
      <w:start w:val="0"/>
      <w:numFmt w:val="bullet"/>
      <w:lvlText w:val="•"/>
      <w:lvlJc w:val="left"/>
      <w:pPr>
        <w:ind w:left="1100" w:hanging="204"/>
      </w:pPr>
      <w:rPr>
        <w:rFonts w:hint="default"/>
        <w:lang w:val="zh-CN" w:eastAsia="zh-CN" w:bidi="zh-CN"/>
      </w:rPr>
    </w:lvl>
    <w:lvl w:ilvl="3" w:tentative="0">
      <w:start w:val="0"/>
      <w:numFmt w:val="bullet"/>
      <w:lvlText w:val="•"/>
      <w:lvlJc w:val="left"/>
      <w:pPr>
        <w:ind w:left="1590" w:hanging="204"/>
      </w:pPr>
      <w:rPr>
        <w:rFonts w:hint="default"/>
        <w:lang w:val="zh-CN" w:eastAsia="zh-CN" w:bidi="zh-CN"/>
      </w:rPr>
    </w:lvl>
    <w:lvl w:ilvl="4" w:tentative="0">
      <w:start w:val="0"/>
      <w:numFmt w:val="bullet"/>
      <w:lvlText w:val="•"/>
      <w:lvlJc w:val="left"/>
      <w:pPr>
        <w:ind w:left="2080" w:hanging="204"/>
      </w:pPr>
      <w:rPr>
        <w:rFonts w:hint="default"/>
        <w:lang w:val="zh-CN" w:eastAsia="zh-CN" w:bidi="zh-CN"/>
      </w:rPr>
    </w:lvl>
    <w:lvl w:ilvl="5" w:tentative="0">
      <w:start w:val="0"/>
      <w:numFmt w:val="bullet"/>
      <w:lvlText w:val="•"/>
      <w:lvlJc w:val="left"/>
      <w:pPr>
        <w:ind w:left="2571" w:hanging="204"/>
      </w:pPr>
      <w:rPr>
        <w:rFonts w:hint="default"/>
        <w:lang w:val="zh-CN" w:eastAsia="zh-CN" w:bidi="zh-CN"/>
      </w:rPr>
    </w:lvl>
    <w:lvl w:ilvl="6" w:tentative="0">
      <w:start w:val="0"/>
      <w:numFmt w:val="bullet"/>
      <w:lvlText w:val="•"/>
      <w:lvlJc w:val="left"/>
      <w:pPr>
        <w:ind w:left="3061" w:hanging="204"/>
      </w:pPr>
      <w:rPr>
        <w:rFonts w:hint="default"/>
        <w:lang w:val="zh-CN" w:eastAsia="zh-CN" w:bidi="zh-CN"/>
      </w:rPr>
    </w:lvl>
    <w:lvl w:ilvl="7" w:tentative="0">
      <w:start w:val="0"/>
      <w:numFmt w:val="bullet"/>
      <w:lvlText w:val="•"/>
      <w:lvlJc w:val="left"/>
      <w:pPr>
        <w:ind w:left="3551" w:hanging="204"/>
      </w:pPr>
      <w:rPr>
        <w:rFonts w:hint="default"/>
        <w:lang w:val="zh-CN" w:eastAsia="zh-CN" w:bidi="zh-CN"/>
      </w:rPr>
    </w:lvl>
    <w:lvl w:ilvl="8" w:tentative="0">
      <w:start w:val="0"/>
      <w:numFmt w:val="bullet"/>
      <w:lvlText w:val="•"/>
      <w:lvlJc w:val="left"/>
      <w:pPr>
        <w:ind w:left="4041" w:hanging="20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BD383A"/>
    <w:rsid w:val="001257EE"/>
    <w:rsid w:val="001277C6"/>
    <w:rsid w:val="001329FC"/>
    <w:rsid w:val="00147B9C"/>
    <w:rsid w:val="0022164D"/>
    <w:rsid w:val="00236BD2"/>
    <w:rsid w:val="002F2FD4"/>
    <w:rsid w:val="00306632"/>
    <w:rsid w:val="0035146E"/>
    <w:rsid w:val="00375BD5"/>
    <w:rsid w:val="00397B8F"/>
    <w:rsid w:val="003A3766"/>
    <w:rsid w:val="003F5292"/>
    <w:rsid w:val="003F7A52"/>
    <w:rsid w:val="004368DE"/>
    <w:rsid w:val="00480B8A"/>
    <w:rsid w:val="004D5032"/>
    <w:rsid w:val="004E0489"/>
    <w:rsid w:val="00545670"/>
    <w:rsid w:val="00566AD3"/>
    <w:rsid w:val="006247E2"/>
    <w:rsid w:val="007123EC"/>
    <w:rsid w:val="00713118"/>
    <w:rsid w:val="007163CF"/>
    <w:rsid w:val="0072189C"/>
    <w:rsid w:val="00721EFF"/>
    <w:rsid w:val="0075648D"/>
    <w:rsid w:val="007C7FFC"/>
    <w:rsid w:val="008635EA"/>
    <w:rsid w:val="009C3B12"/>
    <w:rsid w:val="009C486E"/>
    <w:rsid w:val="00A948B4"/>
    <w:rsid w:val="00B54359"/>
    <w:rsid w:val="00BB29D4"/>
    <w:rsid w:val="00BD383A"/>
    <w:rsid w:val="00C75513"/>
    <w:rsid w:val="00C937DE"/>
    <w:rsid w:val="00CA7CB9"/>
    <w:rsid w:val="00CD1292"/>
    <w:rsid w:val="00D72578"/>
    <w:rsid w:val="00D75357"/>
    <w:rsid w:val="00DF4AE3"/>
    <w:rsid w:val="00E87895"/>
    <w:rsid w:val="066A0D04"/>
    <w:rsid w:val="076460D7"/>
    <w:rsid w:val="0A5D3321"/>
    <w:rsid w:val="0ABC69A0"/>
    <w:rsid w:val="0B4F54C9"/>
    <w:rsid w:val="0F065A27"/>
    <w:rsid w:val="1100177C"/>
    <w:rsid w:val="11A010BA"/>
    <w:rsid w:val="15B47C7F"/>
    <w:rsid w:val="1A020BD2"/>
    <w:rsid w:val="1B8D0FFB"/>
    <w:rsid w:val="1C774B5A"/>
    <w:rsid w:val="1E8B263A"/>
    <w:rsid w:val="24D21C76"/>
    <w:rsid w:val="2579550D"/>
    <w:rsid w:val="26581E80"/>
    <w:rsid w:val="27267CB2"/>
    <w:rsid w:val="290057A8"/>
    <w:rsid w:val="2BD40095"/>
    <w:rsid w:val="2E826947"/>
    <w:rsid w:val="2F0F6C37"/>
    <w:rsid w:val="30A03FC9"/>
    <w:rsid w:val="312C69A8"/>
    <w:rsid w:val="31946A40"/>
    <w:rsid w:val="31CA6B6F"/>
    <w:rsid w:val="327D6768"/>
    <w:rsid w:val="35696B9E"/>
    <w:rsid w:val="3A520253"/>
    <w:rsid w:val="3B4F6F38"/>
    <w:rsid w:val="3DBC46F4"/>
    <w:rsid w:val="473A3D4B"/>
    <w:rsid w:val="4B567DA6"/>
    <w:rsid w:val="4B8B3E2B"/>
    <w:rsid w:val="4C4D2A95"/>
    <w:rsid w:val="4C8771FA"/>
    <w:rsid w:val="4CBE5FF1"/>
    <w:rsid w:val="4E102295"/>
    <w:rsid w:val="4F4F0464"/>
    <w:rsid w:val="4FB229FF"/>
    <w:rsid w:val="522D52D4"/>
    <w:rsid w:val="5317704A"/>
    <w:rsid w:val="552C465E"/>
    <w:rsid w:val="579D48E6"/>
    <w:rsid w:val="58503DBA"/>
    <w:rsid w:val="58C97906"/>
    <w:rsid w:val="5C162270"/>
    <w:rsid w:val="5DA7686E"/>
    <w:rsid w:val="61874839"/>
    <w:rsid w:val="638547FF"/>
    <w:rsid w:val="63F83969"/>
    <w:rsid w:val="67AF74DD"/>
    <w:rsid w:val="67F1383B"/>
    <w:rsid w:val="6A0F35B7"/>
    <w:rsid w:val="6A3E5A19"/>
    <w:rsid w:val="7400263B"/>
    <w:rsid w:val="765550CD"/>
    <w:rsid w:val="76B46B7B"/>
    <w:rsid w:val="77E15624"/>
    <w:rsid w:val="7F8C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650" w:lineRule="exact"/>
      <w:ind w:left="587" w:right="624"/>
      <w:jc w:val="center"/>
      <w:outlineLvl w:val="0"/>
    </w:pPr>
    <w:rPr>
      <w:rFonts w:ascii="方正小标宋简体" w:hAnsi="方正小标宋简体" w:eastAsia="方正小标宋简体" w:cs="方正小标宋简体"/>
      <w:sz w:val="44"/>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qFormat/>
    <w:uiPriority w:val="0"/>
    <w:rPr>
      <w:rFonts w:ascii="宋体" w:hAnsi="宋体" w:eastAsia="宋体" w:cs="宋体"/>
      <w:sz w:val="18"/>
      <w:szCs w:val="18"/>
      <w:lang w:val="zh-CN" w:bidi="zh-CN"/>
    </w:rPr>
  </w:style>
  <w:style w:type="character" w:customStyle="1" w:styleId="12">
    <w:name w:val="页脚 Char"/>
    <w:basedOn w:val="7"/>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1115</Words>
  <Characters>6361</Characters>
  <Lines>53</Lines>
  <Paragraphs>14</Paragraphs>
  <TotalTime>59</TotalTime>
  <ScaleCrop>false</ScaleCrop>
  <LinksUpToDate>false</LinksUpToDate>
  <CharactersWithSpaces>7462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2021-02-23T05:24:00Z</dcterms:created>
  <dc:creator>Administrator</dc:creator>
  <cp:lastModifiedBy>Administrator</cp:lastModifiedBy>
  <cp:lastPrinted>2021-02-26T01:50:00Z</cp:lastPrinted>
  <dcterms:modified xsi:type="dcterms:W3CDTF">2021-03-03T09:02:11Z</dcterms:modified>
  <dc:title>Microsoft Word - 枣政发〔2021〕2号.doc</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PScript5.dll Version 5.2.2</vt:lpwstr>
  </property>
  <property fmtid="{D5CDD505-2E9C-101B-9397-08002B2CF9AE}" pid="4" name="LastSaved">
    <vt:filetime>2021-02-22T00:00:00Z</vt:filetime>
  </property>
  <property fmtid="{D5CDD505-2E9C-101B-9397-08002B2CF9AE}" pid="5" name="KSOProductBuildVer">
    <vt:lpwstr>2052-11.1.0.10314</vt:lpwstr>
  </property>
</Properties>
</file>